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Pr>
        <w:jc w:val="center"/>
      </w:pPr>
      <w:r>
        <w:rPr>
          <w:rFonts w:ascii="Times New Roman" w:hAnsi="Times New Roman"/>
          <w:b/>
          <w:sz w:val="36"/>
        </w:rPr>
        <w:t>RECHERCHE-DOSSIER</w:t>
      </w:r>
    </w:p>
    <w:p/>
    <w:p>
      <w:pPr>
        <w:jc w:val="center"/>
      </w:pPr>
      <w:r>
        <w:rPr>
          <w:rFonts w:ascii="Times New Roman" w:hAnsi="Times New Roman"/>
          <w:b/>
          <w:sz w:val="44"/>
        </w:rPr>
        <w:t>Stiftungsfinanzierung in Deutschland</w:t>
      </w:r>
    </w:p>
    <w:p/>
    <w:p>
      <w:pPr>
        <w:jc w:val="center"/>
      </w:pPr>
      <w:r>
        <w:rPr>
          <w:rFonts w:ascii="Times New Roman" w:hAnsi="Times New Roman"/>
          <w:i/>
          <w:sz w:val="24"/>
        </w:rPr>
        <w:t>Systematische Analyse der Foerderpraxis parteinaher Stiftungen</w:t>
        <w:br/>
        <w:t>unter besonderer Beruecksichtigung der Desiderius-Erasmus-Stiftung</w:t>
      </w:r>
    </w:p>
    <w:p/>
    <w:p/>
    <w:p/>
    <w:p/>
    <w:p>
      <w:pPr>
        <w:jc w:val="center"/>
      </w:pPr>
      <w:r>
        <w:rPr>
          <w:rFonts w:ascii="Times New Roman" w:hAnsi="Times New Roman"/>
          <w:b/>
          <w:sz w:val="22"/>
        </w:rPr>
        <w:t xml:space="preserve">Zweck: </w:t>
      </w:r>
      <w:r>
        <w:rPr>
          <w:rFonts w:ascii="Times New Roman" w:hAnsi="Times New Roman"/>
          <w:sz w:val="22"/>
        </w:rPr>
        <w:t>Recherche-Dossier / Arbeitsprobe</w:t>
      </w:r>
    </w:p>
    <w:p>
      <w:pPr>
        <w:jc w:val="center"/>
      </w:pPr>
      <w:r>
        <w:rPr>
          <w:rFonts w:ascii="Times New Roman" w:hAnsi="Times New Roman"/>
          <w:b/>
          <w:sz w:val="22"/>
        </w:rPr>
        <w:t xml:space="preserve">Thema: </w:t>
      </w:r>
      <w:r>
        <w:rPr>
          <w:rFonts w:ascii="Times New Roman" w:hAnsi="Times New Roman"/>
          <w:sz w:val="22"/>
        </w:rPr>
        <w:t>Parteinahe Stiftungsfinanzierung und Ausschlussmechanismen</w:t>
      </w:r>
    </w:p>
    <w:p>
      <w:pPr>
        <w:jc w:val="center"/>
      </w:pPr>
      <w:r>
        <w:rPr>
          <w:rFonts w:ascii="Times New Roman" w:hAnsi="Times New Roman"/>
          <w:b/>
          <w:sz w:val="22"/>
        </w:rPr>
        <w:t xml:space="preserve">Verfasser: </w:t>
      </w:r>
      <w:r>
        <w:rPr>
          <w:rFonts w:ascii="Times New Roman" w:hAnsi="Times New Roman"/>
          <w:sz w:val="22"/>
        </w:rPr>
        <w:t>Martin Lang</w:t>
      </w:r>
    </w:p>
    <w:p>
      <w:pPr>
        <w:jc w:val="center"/>
      </w:pPr>
      <w:r>
        <w:rPr>
          <w:rFonts w:ascii="Times New Roman" w:hAnsi="Times New Roman"/>
          <w:b/>
          <w:sz w:val="22"/>
        </w:rPr>
        <w:t xml:space="preserve">Stand: </w:t>
      </w:r>
      <w:r>
        <w:rPr>
          <w:rFonts w:ascii="Times New Roman" w:hAnsi="Times New Roman"/>
          <w:sz w:val="22"/>
        </w:rPr>
        <w:t>Maerz 2026</w:t>
      </w:r>
    </w:p>
    <w:p/>
    <w:p>
      <w:pPr>
        <w:jc w:val="center"/>
      </w:pPr>
      <w:r>
        <w:rPr>
          <w:rFonts w:ascii="Times New Roman" w:hAnsi="Times New Roman"/>
          <w:i/>
          <w:color w:val="555555"/>
          <w:sz w:val="18"/>
        </w:rPr>
        <w:t>Alle Angaben quellengestuetzt und verifizierbar.</w:t>
      </w:r>
    </w:p>
    <w:p>
      <w:r>
        <w:br w:type="page"/>
      </w:r>
    </w:p>
    <w:p>
      <w:pPr>
        <w:pStyle w:val="Heading1"/>
      </w:pPr>
      <w:r>
        <w:rPr>
          <w:rFonts w:ascii="Times New Roman" w:hAnsi="Times New Roman"/>
          <w:color w:val="000000"/>
        </w:rPr>
        <w:t>Inhaltsverzeichnis</w:t>
      </w:r>
    </w:p>
    <w:p>
      <w:pPr>
        <w:ind w:left="0"/>
      </w:pPr>
      <w:r>
        <w:rPr>
          <w:rFonts w:ascii="Times New Roman" w:hAnsi="Times New Roman"/>
          <w:b/>
          <w:sz w:val="22"/>
        </w:rPr>
        <w:t>1  Executive Summary</w:t>
      </w:r>
    </w:p>
    <w:p>
      <w:pPr>
        <w:ind w:left="0"/>
      </w:pPr>
      <w:r>
        <w:rPr>
          <w:rFonts w:ascii="Times New Roman" w:hAnsi="Times New Roman"/>
          <w:b/>
          <w:sz w:val="22"/>
        </w:rPr>
        <w:t>2  Rechtsgrundlagen und Foerdersystem</w:t>
      </w:r>
    </w:p>
    <w:p>
      <w:pPr>
        <w:ind w:left="567"/>
      </w:pPr>
      <w:r>
        <w:rPr>
          <w:rFonts w:ascii="Times New Roman" w:hAnsi="Times New Roman"/>
          <w:sz w:val="22"/>
        </w:rPr>
        <w:t>2.1  Das Stiftungsfinanzierungsgesetz (StiftFinG)</w:t>
      </w:r>
    </w:p>
    <w:p>
      <w:pPr>
        <w:ind w:left="567"/>
      </w:pPr>
      <w:r>
        <w:rPr>
          <w:rFonts w:ascii="Times New Roman" w:hAnsi="Times New Roman"/>
          <w:sz w:val="22"/>
        </w:rPr>
        <w:t>2.2  Verteilungsschluessel und Berechnungsformel</w:t>
      </w:r>
    </w:p>
    <w:p>
      <w:pPr>
        <w:ind w:left="567"/>
      </w:pPr>
      <w:r>
        <w:rPr>
          <w:rFonts w:ascii="Times New Roman" w:hAnsi="Times New Roman"/>
          <w:sz w:val="22"/>
        </w:rPr>
        <w:t>2.3  Foerdervoraussetzungen</w:t>
      </w:r>
    </w:p>
    <w:p>
      <w:pPr>
        <w:ind w:left="0"/>
      </w:pPr>
      <w:r>
        <w:rPr>
          <w:rFonts w:ascii="Times New Roman" w:hAnsi="Times New Roman"/>
          <w:b/>
          <w:sz w:val="22"/>
        </w:rPr>
        <w:t>3  Mittelverteilung und Foerderzahlen</w:t>
      </w:r>
    </w:p>
    <w:p>
      <w:pPr>
        <w:ind w:left="567"/>
      </w:pPr>
      <w:r>
        <w:rPr>
          <w:rFonts w:ascii="Times New Roman" w:hAnsi="Times New Roman"/>
          <w:sz w:val="22"/>
        </w:rPr>
        <w:t>3.1  Globalzuschuesse 2015-2026</w:t>
      </w:r>
    </w:p>
    <w:p>
      <w:pPr>
        <w:ind w:left="567"/>
      </w:pPr>
      <w:r>
        <w:rPr>
          <w:rFonts w:ascii="Times New Roman" w:hAnsi="Times New Roman"/>
          <w:sz w:val="22"/>
        </w:rPr>
        <w:t>3.2  Verteilung auf die einzelnen Stiftungen</w:t>
      </w:r>
    </w:p>
    <w:p>
      <w:pPr>
        <w:ind w:left="567"/>
      </w:pPr>
      <w:r>
        <w:rPr>
          <w:rFonts w:ascii="Times New Roman" w:hAnsi="Times New Roman"/>
          <w:sz w:val="22"/>
        </w:rPr>
        <w:t>3.3  Kontrafaktische Berechnung: DES-Anteil</w:t>
      </w:r>
    </w:p>
    <w:p>
      <w:pPr>
        <w:ind w:left="0"/>
      </w:pPr>
      <w:r>
        <w:rPr>
          <w:rFonts w:ascii="Times New Roman" w:hAnsi="Times New Roman"/>
          <w:b/>
          <w:sz w:val="22"/>
        </w:rPr>
        <w:t>4  Die Desiderius-Erasmus-Stiftung</w:t>
      </w:r>
    </w:p>
    <w:p>
      <w:pPr>
        <w:ind w:left="567"/>
      </w:pPr>
      <w:r>
        <w:rPr>
          <w:rFonts w:ascii="Times New Roman" w:hAnsi="Times New Roman"/>
          <w:sz w:val="22"/>
        </w:rPr>
        <w:t>4.1  Gruendung und Anerkennung</w:t>
      </w:r>
    </w:p>
    <w:p>
      <w:pPr>
        <w:ind w:left="567"/>
      </w:pPr>
      <w:r>
        <w:rPr>
          <w:rFonts w:ascii="Times New Roman" w:hAnsi="Times New Roman"/>
          <w:sz w:val="22"/>
        </w:rPr>
        <w:t>4.2  Chronologie der Ausgrenzung</w:t>
      </w:r>
    </w:p>
    <w:p>
      <w:pPr>
        <w:ind w:left="567"/>
      </w:pPr>
      <w:r>
        <w:rPr>
          <w:rFonts w:ascii="Times New Roman" w:hAnsi="Times New Roman"/>
          <w:sz w:val="22"/>
        </w:rPr>
        <w:t>4.3  Vergleich mit der Rosa-Luxemburg-Stiftung</w:t>
      </w:r>
    </w:p>
    <w:p>
      <w:pPr>
        <w:ind w:left="0"/>
      </w:pPr>
      <w:r>
        <w:rPr>
          <w:rFonts w:ascii="Times New Roman" w:hAnsi="Times New Roman"/>
          <w:b/>
          <w:sz w:val="22"/>
        </w:rPr>
        <w:t>5  Verfassungsschutz und politische Steuerung</w:t>
      </w:r>
    </w:p>
    <w:p>
      <w:pPr>
        <w:ind w:left="567"/>
      </w:pPr>
      <w:r>
        <w:rPr>
          <w:rFonts w:ascii="Times New Roman" w:hAnsi="Times New Roman"/>
          <w:sz w:val="22"/>
        </w:rPr>
        <w:t>5.1  Strukturelle Abhaengigkeit des BfV</w:t>
      </w:r>
    </w:p>
    <w:p>
      <w:pPr>
        <w:ind w:left="567"/>
      </w:pPr>
      <w:r>
        <w:rPr>
          <w:rFonts w:ascii="Times New Roman" w:hAnsi="Times New Roman"/>
          <w:sz w:val="22"/>
        </w:rPr>
        <w:t>5.2  Der Fall Haldenwang</w:t>
      </w:r>
    </w:p>
    <w:p>
      <w:pPr>
        <w:ind w:left="567"/>
      </w:pPr>
      <w:r>
        <w:rPr>
          <w:rFonts w:ascii="Times New Roman" w:hAnsi="Times New Roman"/>
          <w:sz w:val="22"/>
        </w:rPr>
        <w:t>5.3  V-Leute-Problematik</w:t>
      </w:r>
    </w:p>
    <w:p>
      <w:pPr>
        <w:ind w:left="567"/>
      </w:pPr>
      <w:r>
        <w:rPr>
          <w:rFonts w:ascii="Times New Roman" w:hAnsi="Times New Roman"/>
          <w:sz w:val="22"/>
        </w:rPr>
        <w:t>5.4  Gerichtliche Korrekturen</w:t>
      </w:r>
    </w:p>
    <w:p>
      <w:pPr>
        <w:ind w:left="0"/>
      </w:pPr>
      <w:r>
        <w:rPr>
          <w:rFonts w:ascii="Times New Roman" w:hAnsi="Times New Roman"/>
          <w:b/>
          <w:sz w:val="22"/>
        </w:rPr>
        <w:t>6  Medienlandschaft und Berichterstattung</w:t>
      </w:r>
    </w:p>
    <w:p>
      <w:pPr>
        <w:ind w:left="567"/>
      </w:pPr>
      <w:r>
        <w:rPr>
          <w:rFonts w:ascii="Times New Roman" w:hAnsi="Times New Roman"/>
          <w:sz w:val="22"/>
        </w:rPr>
        <w:t>6.1  Parteipraeferenz von Journalisten</w:t>
      </w:r>
    </w:p>
    <w:p>
      <w:pPr>
        <w:ind w:left="567"/>
      </w:pPr>
      <w:r>
        <w:rPr>
          <w:rFonts w:ascii="Times New Roman" w:hAnsi="Times New Roman"/>
          <w:sz w:val="22"/>
        </w:rPr>
        <w:t>6.2  Strukturelle Asymmetrie</w:t>
      </w:r>
    </w:p>
    <w:p>
      <w:pPr>
        <w:ind w:left="0"/>
      </w:pPr>
      <w:r>
        <w:rPr>
          <w:rFonts w:ascii="Times New Roman" w:hAnsi="Times New Roman"/>
          <w:b/>
          <w:sz w:val="22"/>
        </w:rPr>
        <w:t>7  Stiftungsnetzwerke und Geldstroeme</w:t>
      </w:r>
    </w:p>
    <w:p>
      <w:pPr>
        <w:ind w:left="567"/>
      </w:pPr>
      <w:r>
        <w:rPr>
          <w:rFonts w:ascii="Times New Roman" w:hAnsi="Times New Roman"/>
          <w:sz w:val="22"/>
        </w:rPr>
        <w:t>7.1  Bundesprogramm Demokratie leben!</w:t>
      </w:r>
    </w:p>
    <w:p>
      <w:pPr>
        <w:ind w:left="567"/>
      </w:pPr>
      <w:r>
        <w:rPr>
          <w:rFonts w:ascii="Times New Roman" w:hAnsi="Times New Roman"/>
          <w:sz w:val="22"/>
        </w:rPr>
        <w:t>7.2  Amadeu Antonio Stiftung</w:t>
      </w:r>
    </w:p>
    <w:p>
      <w:pPr>
        <w:ind w:left="567"/>
      </w:pPr>
      <w:r>
        <w:rPr>
          <w:rFonts w:ascii="Times New Roman" w:hAnsi="Times New Roman"/>
          <w:sz w:val="22"/>
        </w:rPr>
        <w:t>7.3  Interessenkonflikte im Pruefverfahren</w:t>
      </w:r>
    </w:p>
    <w:p>
      <w:pPr>
        <w:ind w:left="0"/>
      </w:pPr>
      <w:r>
        <w:rPr>
          <w:rFonts w:ascii="Times New Roman" w:hAnsi="Times New Roman"/>
          <w:b/>
          <w:sz w:val="22"/>
        </w:rPr>
        <w:t>8  Gerichtsurteile und Rechtslage</w:t>
      </w:r>
    </w:p>
    <w:p>
      <w:pPr>
        <w:ind w:left="567"/>
      </w:pPr>
      <w:r>
        <w:rPr>
          <w:rFonts w:ascii="Times New Roman" w:hAnsi="Times New Roman"/>
          <w:sz w:val="22"/>
        </w:rPr>
        <w:t>8.1  BVerfG-Urteil 2023 (2 BvE 3/19)</w:t>
      </w:r>
    </w:p>
    <w:p>
      <w:pPr>
        <w:ind w:left="567"/>
      </w:pPr>
      <w:r>
        <w:rPr>
          <w:rFonts w:ascii="Times New Roman" w:hAnsi="Times New Roman"/>
          <w:sz w:val="22"/>
        </w:rPr>
        <w:t>8.2  Weitere relevante Urteile</w:t>
      </w:r>
    </w:p>
    <w:p>
      <w:pPr>
        <w:ind w:left="567"/>
      </w:pPr>
      <w:r>
        <w:rPr>
          <w:rFonts w:ascii="Times New Roman" w:hAnsi="Times New Roman"/>
          <w:sz w:val="22"/>
        </w:rPr>
        <w:t>8.3  Verfassungsrechtliche Kritik am StiftFinG</w:t>
      </w:r>
    </w:p>
    <w:p>
      <w:pPr>
        <w:ind w:left="0"/>
      </w:pPr>
      <w:r>
        <w:rPr>
          <w:rFonts w:ascii="Times New Roman" w:hAnsi="Times New Roman"/>
          <w:b/>
          <w:sz w:val="22"/>
        </w:rPr>
        <w:t>9  Quellenverzeichnis</w:t>
      </w:r>
    </w:p>
    <w:p>
      <w:r>
        <w:br w:type="page"/>
      </w:r>
    </w:p>
    <w:p>
      <w:pPr>
        <w:pStyle w:val="Heading1"/>
      </w:pPr>
      <w:r>
        <w:rPr>
          <w:rFonts w:ascii="Times New Roman" w:hAnsi="Times New Roman"/>
          <w:color w:val="000000"/>
        </w:rPr>
        <w:t>1  Executive Summary</w:t>
      </w:r>
    </w:p>
    <w:p>
      <w:pPr>
        <w:jc w:val="both"/>
      </w:pPr>
      <w:r>
        <w:rPr>
          <w:rFonts w:ascii="Times New Roman" w:hAnsi="Times New Roman"/>
          <w:sz w:val="22"/>
        </w:rPr>
        <w:t>Die Bundesrepublik Deutschland foerdert parteinahe Stiftungen jaehrlich mit rund 687,5 Millionen Euro aus dem Bundeshaushalt. Seit Inkrafttreten des Stiftungsfinanzierungsgesetzes (StiftFinG) im Jahr 2024 existiert erstmals eine gesetzliche Grundlage fuer diese Foerderung. Die Desiderius-Erasmus-Stiftung (DES), die der AfD nahesteht, hat seit ihrer Gruendung 2017 keine staatlichen Mittel erhalten. Das vorliegende Dossier analysiert quellengestuetzt die Rechtsgrundlagen, Verteilungsmechanismen, Ausschlusskriterien und die politischen Rahmenbedingungen dieser Foerderpraxis.</w:t>
      </w:r>
    </w:p>
    <w:p>
      <w:pPr>
        <w:jc w:val="both"/>
      </w:pPr>
      <w:r>
        <w:rPr>
          <w:rFonts w:ascii="Times New Roman" w:hAnsi="Times New Roman"/>
          <w:sz w:val="22"/>
        </w:rPr>
        <w:t>Die folgende Tabelle fasst die Kerndaten zusammen:</w:t>
      </w:r>
    </w:p>
    <w:tbl>
      <w:tblPr>
        <w:tblStyle w:val="TableGrid"/>
        <w:tblW w:type="auto" w:w="0"/>
        <w:jc w:val="center"/>
        <w:tblLook w:firstColumn="1" w:firstRow="1" w:lastColumn="0" w:lastRow="0" w:noHBand="0" w:noVBand="1" w:val="04A0"/>
      </w:tblPr>
      <w:tblGrid>
        <w:gridCol w:w="4703"/>
        <w:gridCol w:w="4703"/>
      </w:tblGrid>
      <w:tr>
        <w:tc>
          <w:tcPr>
            <w:tcW w:type="dxa" w:w="4703"/>
            <w:shd w:fill="E8E8E8" w:val="clear"/>
          </w:tcPr>
          <w:p>
            <w:pPr>
              <w:jc w:val="left"/>
            </w:pPr>
            <w:r>
              <w:rPr>
                <w:rFonts w:ascii="Times New Roman" w:hAnsi="Times New Roman"/>
                <w:b/>
                <w:sz w:val="20"/>
              </w:rPr>
              <w:t>Merkmal</w:t>
            </w:r>
          </w:p>
        </w:tc>
        <w:tc>
          <w:tcPr>
            <w:tcW w:type="dxa" w:w="4703"/>
            <w:shd w:fill="E8E8E8" w:val="clear"/>
          </w:tcPr>
          <w:p>
            <w:pPr>
              <w:jc w:val="left"/>
            </w:pPr>
            <w:r>
              <w:rPr>
                <w:rFonts w:ascii="Times New Roman" w:hAnsi="Times New Roman"/>
                <w:b/>
                <w:sz w:val="20"/>
              </w:rPr>
              <w:t>Angabe</w:t>
            </w:r>
          </w:p>
        </w:tc>
      </w:tr>
      <w:tr>
        <w:tc>
          <w:tcPr>
            <w:tcW w:type="dxa" w:w="4703"/>
          </w:tcPr>
          <w:p>
            <w:r>
              <w:rPr>
                <w:rFonts w:ascii="Times New Roman" w:hAnsi="Times New Roman"/>
                <w:sz w:val="20"/>
              </w:rPr>
              <w:t>Gesamtfoerderung 2024</w:t>
            </w:r>
          </w:p>
        </w:tc>
        <w:tc>
          <w:tcPr>
            <w:tcW w:type="dxa" w:w="4703"/>
          </w:tcPr>
          <w:p>
            <w:r>
              <w:rPr>
                <w:rFonts w:ascii="Times New Roman" w:hAnsi="Times New Roman"/>
                <w:sz w:val="20"/>
              </w:rPr>
              <w:t>687,5 Mio. Euro (alle Stiftungen)</w:t>
            </w:r>
          </w:p>
        </w:tc>
      </w:tr>
      <w:tr>
        <w:tc>
          <w:tcPr>
            <w:tcW w:type="dxa" w:w="4703"/>
          </w:tcPr>
          <w:p>
            <w:r>
              <w:rPr>
                <w:rFonts w:ascii="Times New Roman" w:hAnsi="Times New Roman"/>
                <w:sz w:val="20"/>
              </w:rPr>
              <w:t>Globalzuschuesse 2026 (Titel 685 12)</w:t>
            </w:r>
          </w:p>
        </w:tc>
        <w:tc>
          <w:tcPr>
            <w:tcW w:type="dxa" w:w="4703"/>
          </w:tcPr>
          <w:p>
            <w:r>
              <w:rPr>
                <w:rFonts w:ascii="Times New Roman" w:hAnsi="Times New Roman"/>
                <w:sz w:val="20"/>
              </w:rPr>
              <w:t>193,574 Mio. Euro</w:t>
            </w:r>
          </w:p>
        </w:tc>
      </w:tr>
      <w:tr>
        <w:tc>
          <w:tcPr>
            <w:tcW w:type="dxa" w:w="4703"/>
          </w:tcPr>
          <w:p>
            <w:r>
              <w:rPr>
                <w:rFonts w:ascii="Times New Roman" w:hAnsi="Times New Roman"/>
                <w:sz w:val="20"/>
              </w:rPr>
              <w:t>Anzahl gefoerderter Stiftungen</w:t>
            </w:r>
          </w:p>
        </w:tc>
        <w:tc>
          <w:tcPr>
            <w:tcW w:type="dxa" w:w="4703"/>
          </w:tcPr>
          <w:p>
            <w:r>
              <w:rPr>
                <w:rFonts w:ascii="Times New Roman" w:hAnsi="Times New Roman"/>
                <w:sz w:val="20"/>
              </w:rPr>
              <w:t>6 (FES, KAS, HSS, HBS, FNS, RLS)</w:t>
            </w:r>
          </w:p>
        </w:tc>
      </w:tr>
      <w:tr>
        <w:tc>
          <w:tcPr>
            <w:tcW w:type="dxa" w:w="4703"/>
          </w:tcPr>
          <w:p>
            <w:r>
              <w:rPr>
                <w:rFonts w:ascii="Times New Roman" w:hAnsi="Times New Roman"/>
                <w:sz w:val="20"/>
              </w:rPr>
              <w:t>DES-Foerderung seit Gruendung</w:t>
            </w:r>
          </w:p>
        </w:tc>
        <w:tc>
          <w:tcPr>
            <w:tcW w:type="dxa" w:w="4703"/>
          </w:tcPr>
          <w:p>
            <w:r>
              <w:rPr>
                <w:rFonts w:ascii="Times New Roman" w:hAnsi="Times New Roman"/>
                <w:sz w:val="20"/>
              </w:rPr>
              <w:t>0 Euro</w:t>
            </w:r>
          </w:p>
        </w:tc>
      </w:tr>
      <w:tr>
        <w:tc>
          <w:tcPr>
            <w:tcW w:type="dxa" w:w="4703"/>
          </w:tcPr>
          <w:p>
            <w:r>
              <w:rPr>
                <w:rFonts w:ascii="Times New Roman" w:hAnsi="Times New Roman"/>
                <w:sz w:val="20"/>
              </w:rPr>
              <w:t>Rechnerischer DES-Anteil 2026</w:t>
            </w:r>
          </w:p>
        </w:tc>
        <w:tc>
          <w:tcPr>
            <w:tcW w:type="dxa" w:w="4703"/>
          </w:tcPr>
          <w:p>
            <w:r>
              <w:rPr>
                <w:rFonts w:ascii="Times New Roman" w:hAnsi="Times New Roman"/>
                <w:sz w:val="20"/>
              </w:rPr>
              <w:t>ca. 25,5 Mio. Euro (13,2 %)</w:t>
            </w:r>
          </w:p>
        </w:tc>
      </w:tr>
      <w:tr>
        <w:tc>
          <w:tcPr>
            <w:tcW w:type="dxa" w:w="4703"/>
          </w:tcPr>
          <w:p>
            <w:r>
              <w:rPr>
                <w:rFonts w:ascii="Times New Roman" w:hAnsi="Times New Roman"/>
                <w:sz w:val="20"/>
              </w:rPr>
              <w:t>AfD im Bundestag seit</w:t>
            </w:r>
          </w:p>
        </w:tc>
        <w:tc>
          <w:tcPr>
            <w:tcW w:type="dxa" w:w="4703"/>
          </w:tcPr>
          <w:p>
            <w:r>
              <w:rPr>
                <w:rFonts w:ascii="Times New Roman" w:hAnsi="Times New Roman"/>
                <w:sz w:val="20"/>
              </w:rPr>
              <w:t>2017 (drei aufeinanderfolgende Legislaturperioden)</w:t>
            </w:r>
          </w:p>
        </w:tc>
      </w:tr>
      <w:tr>
        <w:tc>
          <w:tcPr>
            <w:tcW w:type="dxa" w:w="4703"/>
          </w:tcPr>
          <w:p>
            <w:r>
              <w:rPr>
                <w:rFonts w:ascii="Times New Roman" w:hAnsi="Times New Roman"/>
                <w:sz w:val="20"/>
              </w:rPr>
              <w:t>Gesetzliche Grundlage</w:t>
            </w:r>
          </w:p>
        </w:tc>
        <w:tc>
          <w:tcPr>
            <w:tcW w:type="dxa" w:w="4703"/>
          </w:tcPr>
          <w:p>
            <w:r>
              <w:rPr>
                <w:rFonts w:ascii="Times New Roman" w:hAnsi="Times New Roman"/>
                <w:sz w:val="20"/>
              </w:rPr>
              <w:t>StiftFinG (in Kraft seit 2024)</w:t>
            </w:r>
          </w:p>
        </w:tc>
      </w:tr>
      <w:tr>
        <w:tc>
          <w:tcPr>
            <w:tcW w:type="dxa" w:w="4703"/>
          </w:tcPr>
          <w:p>
            <w:r>
              <w:rPr>
                <w:rFonts w:ascii="Times New Roman" w:hAnsi="Times New Roman"/>
                <w:sz w:val="20"/>
              </w:rPr>
              <w:t>Verfassungstreue-Pruefung DES</w:t>
            </w:r>
          </w:p>
        </w:tc>
        <w:tc>
          <w:tcPr>
            <w:tcW w:type="dxa" w:w="4703"/>
          </w:tcPr>
          <w:p>
            <w:r>
              <w:rPr>
                <w:rFonts w:ascii="Times New Roman" w:hAnsi="Times New Roman"/>
                <w:sz w:val="20"/>
              </w:rPr>
              <w:t>Laeuft (Stand: Maerz 2026)</w:t>
            </w:r>
          </w:p>
        </w:tc>
      </w:tr>
    </w:tbl>
    <w:p>
      <w:r>
        <w:rPr>
          <w:rFonts w:ascii="Times New Roman" w:hAnsi="Times New Roman"/>
          <w:i/>
          <w:color w:val="555555"/>
          <w:sz w:val="18"/>
        </w:rPr>
        <w:t>Quelle: Eigene Zusammenstellung auf Basis von Bundeshaushalt, StiftFinG und BVerfG-Urteilen.</w:t>
      </w:r>
    </w:p>
    <w:p>
      <w:r>
        <w:br w:type="page"/>
      </w:r>
    </w:p>
    <w:p>
      <w:pPr>
        <w:pStyle w:val="Heading1"/>
      </w:pPr>
      <w:r>
        <w:rPr>
          <w:rFonts w:ascii="Times New Roman" w:hAnsi="Times New Roman"/>
          <w:color w:val="000000"/>
        </w:rPr>
        <w:t>2  Rechtsgrundlagen und Foerdersystem</w:t>
      </w:r>
    </w:p>
    <w:p>
      <w:pPr>
        <w:jc w:val="both"/>
      </w:pPr>
      <w:r>
        <w:rPr>
          <w:rFonts w:ascii="Times New Roman" w:hAnsi="Times New Roman"/>
          <w:sz w:val="22"/>
        </w:rPr>
        <w:t>Die staatliche Foerderung parteinaher Stiftungen gehoert zu den umstrittensten Bereichen der Parteienfinanzierung in Deutschland. Bis 2023 erfolgte die Foerderung ohne eigenstaendige gesetzliche Grundlage ausschliesslich ueber den jaehrlichen Bundeshaushalt. Das Bundesverfassungsgericht beanstandete diese Praxis in seinem Urteil vom 22. Februar 2023 (Az. 2 BvE 3/19) als verfassungswidrig.</w:t>
      </w:r>
    </w:p>
    <w:p>
      <w:pPr>
        <w:pStyle w:val="Heading2"/>
      </w:pPr>
      <w:r>
        <w:rPr>
          <w:rFonts w:ascii="Times New Roman" w:hAnsi="Times New Roman"/>
          <w:color w:val="000000"/>
        </w:rPr>
        <w:t>2.1  Das Stiftungsfinanzierungsgesetz (StiftFinG)</w:t>
      </w:r>
    </w:p>
    <w:p>
      <w:pPr>
        <w:jc w:val="both"/>
      </w:pPr>
      <w:r>
        <w:rPr>
          <w:rFonts w:ascii="Times New Roman" w:hAnsi="Times New Roman"/>
          <w:sz w:val="22"/>
        </w:rPr>
        <w:t>Als Reaktion auf das BVerfG-Urteil verabschiedete der Deutsche Bundestag im Herbst 2023 das Stiftungsfinanzierungsgesetz (StiftFinG), das seit dem Haushaltsjahr 2024 in Kraft ist. Der Gesetzentwurf wurde gemeinsam von den Fraktionen SPD, CDU/CSU, Buendnis 90/Die Gruenen und FDP eingebracht und mit breiter Mehrheit beschlossen. Den Gegenentwurf der AfD-Fraktion lehnte der Bundestag ab.</w:t>
      </w:r>
    </w:p>
    <w:p>
      <w:r>
        <w:rPr>
          <w:rFonts w:ascii="Times New Roman" w:hAnsi="Times New Roman"/>
          <w:i/>
          <w:color w:val="555555"/>
          <w:sz w:val="18"/>
        </w:rPr>
        <w:t>Quelle: Deutscher Bundestag, Drucksache 20/8726 und Plenarprotokoll 20/137. [1]</w:t>
      </w:r>
    </w:p>
    <w:p>
      <w:pPr>
        <w:jc w:val="both"/>
      </w:pPr>
      <w:r>
        <w:rPr>
          <w:rFonts w:ascii="Times New Roman" w:hAnsi="Times New Roman"/>
          <w:b/>
          <w:sz w:val="22"/>
        </w:rPr>
        <w:t xml:space="preserve">Kritische Einordnung: </w:t>
      </w:r>
      <w:r>
        <w:rPr>
          <w:rFonts w:ascii="Times New Roman" w:hAnsi="Times New Roman"/>
          <w:sz w:val="22"/>
        </w:rPr>
        <w:t>Saemtliche Parteien, deren eigene Stiftungen von der bestehenden Foerderung profitieren, haben das Gesetz gemeinsam formuliert und beschlossen. Die einzige Partei, deren Stiftung bislang ausgeschlossen ist, hatte keinen Einfluss auf die Gesetzgebung. Dies stellt einen strukturellen Interessenkonflikt dar, der im parlamentarischen Verfahren nicht adressiert wurde.</w:t>
      </w:r>
    </w:p>
    <w:p>
      <w:pPr>
        <w:pStyle w:val="Heading2"/>
      </w:pPr>
      <w:r>
        <w:rPr>
          <w:rFonts w:ascii="Times New Roman" w:hAnsi="Times New Roman"/>
          <w:color w:val="000000"/>
        </w:rPr>
        <w:t>2.2  Verteilungsschluessel und Berechnungsformel</w:t>
      </w:r>
    </w:p>
    <w:p>
      <w:pPr>
        <w:jc w:val="both"/>
      </w:pPr>
      <w:r>
        <w:rPr>
          <w:rFonts w:ascii="Times New Roman" w:hAnsi="Times New Roman"/>
          <w:sz w:val="22"/>
        </w:rPr>
        <w:t>Das StiftFinG legt in Paragraph 4 den Verteilungsschluessel fuer die Globalzuschuesse fest. Die Berechnung erfolgt in zwei Stufen:</w:t>
      </w:r>
    </w:p>
    <w:p>
      <w:pPr>
        <w:jc w:val="both"/>
      </w:pPr>
      <w:r>
        <w:rPr>
          <w:rFonts w:ascii="Times New Roman" w:hAnsi="Times New Roman"/>
          <w:sz w:val="22"/>
        </w:rPr>
        <w:t>(1) Jede foerderberechtigte Stiftung erhaelt einen Sockelbetrag von 1 Prozent der Gesamtsumme. (2) Die verbleibenden Mittel (bei sieben Stiftungen 93 Prozent) werden nach dem Durchschnitt der Zweitstimmenergebnisse der nahestehenden Partei bei den letzten vier Bundestagswahlen verteilt. Der neue Schluessel gilt jeweils ab dem auf eine Bundestagswahl folgenden Haushaltsjahr.</w:t>
      </w:r>
    </w:p>
    <w:p>
      <w:pPr>
        <w:jc w:val="both"/>
      </w:pPr>
      <w:r>
        <w:rPr>
          <w:rFonts w:ascii="Times New Roman" w:hAnsi="Times New Roman"/>
          <w:sz w:val="22"/>
        </w:rPr>
        <w:t>Die relevanten Wahlergebnisse (Zweitstimmen in Prozent) sind:</w:t>
      </w:r>
    </w:p>
    <w:tbl>
      <w:tblPr>
        <w:tblStyle w:val="TableGrid"/>
        <w:tblW w:type="auto" w:w="0"/>
        <w:jc w:val="center"/>
        <w:tblLook w:firstColumn="1" w:firstRow="1" w:lastColumn="0" w:lastRow="0" w:noHBand="0" w:noVBand="1" w:val="04A0"/>
      </w:tblPr>
      <w:tblGrid>
        <w:gridCol w:w="1568"/>
        <w:gridCol w:w="1568"/>
        <w:gridCol w:w="1568"/>
        <w:gridCol w:w="1568"/>
        <w:gridCol w:w="1568"/>
        <w:gridCol w:w="1568"/>
      </w:tblGrid>
      <w:tr>
        <w:tc>
          <w:tcPr>
            <w:tcW w:type="dxa" w:w="1568"/>
            <w:shd w:fill="E8E8E8" w:val="clear"/>
          </w:tcPr>
          <w:p>
            <w:pPr>
              <w:jc w:val="left"/>
            </w:pPr>
            <w:r>
              <w:rPr>
                <w:rFonts w:ascii="Times New Roman" w:hAnsi="Times New Roman"/>
                <w:b/>
                <w:sz w:val="20"/>
              </w:rPr>
              <w:t>Partei</w:t>
            </w:r>
          </w:p>
        </w:tc>
        <w:tc>
          <w:tcPr>
            <w:tcW w:type="dxa" w:w="1568"/>
            <w:shd w:fill="E8E8E8" w:val="clear"/>
          </w:tcPr>
          <w:p>
            <w:pPr>
              <w:jc w:val="left"/>
            </w:pPr>
            <w:r>
              <w:rPr>
                <w:rFonts w:ascii="Times New Roman" w:hAnsi="Times New Roman"/>
                <w:b/>
                <w:sz w:val="20"/>
              </w:rPr>
              <w:t>2013</w:t>
            </w:r>
          </w:p>
        </w:tc>
        <w:tc>
          <w:tcPr>
            <w:tcW w:type="dxa" w:w="1568"/>
            <w:shd w:fill="E8E8E8" w:val="clear"/>
          </w:tcPr>
          <w:p>
            <w:pPr>
              <w:jc w:val="left"/>
            </w:pPr>
            <w:r>
              <w:rPr>
                <w:rFonts w:ascii="Times New Roman" w:hAnsi="Times New Roman"/>
                <w:b/>
                <w:sz w:val="20"/>
              </w:rPr>
              <w:t>2017</w:t>
            </w:r>
          </w:p>
        </w:tc>
        <w:tc>
          <w:tcPr>
            <w:tcW w:type="dxa" w:w="1568"/>
            <w:shd w:fill="E8E8E8" w:val="clear"/>
          </w:tcPr>
          <w:p>
            <w:pPr>
              <w:jc w:val="left"/>
            </w:pPr>
            <w:r>
              <w:rPr>
                <w:rFonts w:ascii="Times New Roman" w:hAnsi="Times New Roman"/>
                <w:b/>
                <w:sz w:val="20"/>
              </w:rPr>
              <w:t>2021</w:t>
            </w:r>
          </w:p>
        </w:tc>
        <w:tc>
          <w:tcPr>
            <w:tcW w:type="dxa" w:w="1568"/>
            <w:shd w:fill="E8E8E8" w:val="clear"/>
          </w:tcPr>
          <w:p>
            <w:pPr>
              <w:jc w:val="left"/>
            </w:pPr>
            <w:r>
              <w:rPr>
                <w:rFonts w:ascii="Times New Roman" w:hAnsi="Times New Roman"/>
                <w:b/>
                <w:sz w:val="20"/>
              </w:rPr>
              <w:t>2025</w:t>
            </w:r>
          </w:p>
        </w:tc>
        <w:tc>
          <w:tcPr>
            <w:tcW w:type="dxa" w:w="1568"/>
            <w:shd w:fill="E8E8E8" w:val="clear"/>
          </w:tcPr>
          <w:p>
            <w:pPr>
              <w:jc w:val="left"/>
            </w:pPr>
            <w:r>
              <w:rPr>
                <w:rFonts w:ascii="Times New Roman" w:hAnsi="Times New Roman"/>
                <w:b/>
                <w:sz w:val="20"/>
              </w:rPr>
              <w:t>Durchschnitt</w:t>
            </w:r>
          </w:p>
        </w:tc>
      </w:tr>
      <w:tr>
        <w:tc>
          <w:tcPr>
            <w:tcW w:type="dxa" w:w="1568"/>
          </w:tcPr>
          <w:p>
            <w:r>
              <w:rPr>
                <w:rFonts w:ascii="Times New Roman" w:hAnsi="Times New Roman"/>
                <w:sz w:val="20"/>
              </w:rPr>
              <w:t>SPD</w:t>
            </w:r>
          </w:p>
        </w:tc>
        <w:tc>
          <w:tcPr>
            <w:tcW w:type="dxa" w:w="1568"/>
          </w:tcPr>
          <w:p>
            <w:r>
              <w:rPr>
                <w:rFonts w:ascii="Times New Roman" w:hAnsi="Times New Roman"/>
                <w:sz w:val="20"/>
              </w:rPr>
              <w:t>25,7</w:t>
            </w:r>
          </w:p>
        </w:tc>
        <w:tc>
          <w:tcPr>
            <w:tcW w:type="dxa" w:w="1568"/>
          </w:tcPr>
          <w:p>
            <w:r>
              <w:rPr>
                <w:rFonts w:ascii="Times New Roman" w:hAnsi="Times New Roman"/>
                <w:sz w:val="20"/>
              </w:rPr>
              <w:t>20,5</w:t>
            </w:r>
          </w:p>
        </w:tc>
        <w:tc>
          <w:tcPr>
            <w:tcW w:type="dxa" w:w="1568"/>
          </w:tcPr>
          <w:p>
            <w:r>
              <w:rPr>
                <w:rFonts w:ascii="Times New Roman" w:hAnsi="Times New Roman"/>
                <w:sz w:val="20"/>
              </w:rPr>
              <w:t>25,7</w:t>
            </w:r>
          </w:p>
        </w:tc>
        <w:tc>
          <w:tcPr>
            <w:tcW w:type="dxa" w:w="1568"/>
          </w:tcPr>
          <w:p>
            <w:r>
              <w:rPr>
                <w:rFonts w:ascii="Times New Roman" w:hAnsi="Times New Roman"/>
                <w:sz w:val="20"/>
              </w:rPr>
              <w:t>16,4</w:t>
            </w:r>
          </w:p>
        </w:tc>
        <w:tc>
          <w:tcPr>
            <w:tcW w:type="dxa" w:w="1568"/>
          </w:tcPr>
          <w:p>
            <w:r>
              <w:rPr>
                <w:rFonts w:ascii="Times New Roman" w:hAnsi="Times New Roman"/>
                <w:sz w:val="20"/>
              </w:rPr>
              <w:t>22,08</w:t>
            </w:r>
          </w:p>
        </w:tc>
      </w:tr>
      <w:tr>
        <w:tc>
          <w:tcPr>
            <w:tcW w:type="dxa" w:w="1568"/>
          </w:tcPr>
          <w:p>
            <w:r>
              <w:rPr>
                <w:rFonts w:ascii="Times New Roman" w:hAnsi="Times New Roman"/>
                <w:sz w:val="20"/>
              </w:rPr>
              <w:t>CDU</w:t>
            </w:r>
          </w:p>
        </w:tc>
        <w:tc>
          <w:tcPr>
            <w:tcW w:type="dxa" w:w="1568"/>
          </w:tcPr>
          <w:p>
            <w:r>
              <w:rPr>
                <w:rFonts w:ascii="Times New Roman" w:hAnsi="Times New Roman"/>
                <w:sz w:val="20"/>
              </w:rPr>
              <w:t>34,1</w:t>
            </w:r>
          </w:p>
        </w:tc>
        <w:tc>
          <w:tcPr>
            <w:tcW w:type="dxa" w:w="1568"/>
          </w:tcPr>
          <w:p>
            <w:r>
              <w:rPr>
                <w:rFonts w:ascii="Times New Roman" w:hAnsi="Times New Roman"/>
                <w:sz w:val="20"/>
              </w:rPr>
              <w:t>26,8</w:t>
            </w:r>
          </w:p>
        </w:tc>
        <w:tc>
          <w:tcPr>
            <w:tcW w:type="dxa" w:w="1568"/>
          </w:tcPr>
          <w:p>
            <w:r>
              <w:rPr>
                <w:rFonts w:ascii="Times New Roman" w:hAnsi="Times New Roman"/>
                <w:sz w:val="20"/>
              </w:rPr>
              <w:t>24,1</w:t>
            </w:r>
          </w:p>
        </w:tc>
        <w:tc>
          <w:tcPr>
            <w:tcW w:type="dxa" w:w="1568"/>
          </w:tcPr>
          <w:p>
            <w:r>
              <w:rPr>
                <w:rFonts w:ascii="Times New Roman" w:hAnsi="Times New Roman"/>
                <w:sz w:val="20"/>
              </w:rPr>
              <w:t>28,5</w:t>
            </w:r>
          </w:p>
        </w:tc>
        <w:tc>
          <w:tcPr>
            <w:tcW w:type="dxa" w:w="1568"/>
          </w:tcPr>
          <w:p>
            <w:r>
              <w:rPr>
                <w:rFonts w:ascii="Times New Roman" w:hAnsi="Times New Roman"/>
                <w:sz w:val="20"/>
              </w:rPr>
              <w:t>28,38</w:t>
            </w:r>
          </w:p>
        </w:tc>
      </w:tr>
      <w:tr>
        <w:tc>
          <w:tcPr>
            <w:tcW w:type="dxa" w:w="1568"/>
          </w:tcPr>
          <w:p>
            <w:r>
              <w:rPr>
                <w:rFonts w:ascii="Times New Roman" w:hAnsi="Times New Roman"/>
                <w:sz w:val="20"/>
              </w:rPr>
              <w:t>CSU</w:t>
            </w:r>
          </w:p>
        </w:tc>
        <w:tc>
          <w:tcPr>
            <w:tcW w:type="dxa" w:w="1568"/>
          </w:tcPr>
          <w:p>
            <w:r>
              <w:rPr>
                <w:rFonts w:ascii="Times New Roman" w:hAnsi="Times New Roman"/>
                <w:sz w:val="20"/>
              </w:rPr>
              <w:t>7,4</w:t>
            </w:r>
          </w:p>
        </w:tc>
        <w:tc>
          <w:tcPr>
            <w:tcW w:type="dxa" w:w="1568"/>
          </w:tcPr>
          <w:p>
            <w:r>
              <w:rPr>
                <w:rFonts w:ascii="Times New Roman" w:hAnsi="Times New Roman"/>
                <w:sz w:val="20"/>
              </w:rPr>
              <w:t>6,2</w:t>
            </w:r>
          </w:p>
        </w:tc>
        <w:tc>
          <w:tcPr>
            <w:tcW w:type="dxa" w:w="1568"/>
          </w:tcPr>
          <w:p>
            <w:r>
              <w:rPr>
                <w:rFonts w:ascii="Times New Roman" w:hAnsi="Times New Roman"/>
                <w:sz w:val="20"/>
              </w:rPr>
              <w:t>5,2</w:t>
            </w:r>
          </w:p>
        </w:tc>
        <w:tc>
          <w:tcPr>
            <w:tcW w:type="dxa" w:w="1568"/>
          </w:tcPr>
          <w:p>
            <w:r>
              <w:rPr>
                <w:rFonts w:ascii="Times New Roman" w:hAnsi="Times New Roman"/>
                <w:sz w:val="20"/>
              </w:rPr>
              <w:t>*</w:t>
            </w:r>
          </w:p>
        </w:tc>
        <w:tc>
          <w:tcPr>
            <w:tcW w:type="dxa" w:w="1568"/>
          </w:tcPr>
          <w:p>
            <w:r>
              <w:rPr>
                <w:rFonts w:ascii="Times New Roman" w:hAnsi="Times New Roman"/>
                <w:sz w:val="20"/>
              </w:rPr>
              <w:t>6,27</w:t>
            </w:r>
          </w:p>
        </w:tc>
      </w:tr>
      <w:tr>
        <w:tc>
          <w:tcPr>
            <w:tcW w:type="dxa" w:w="1568"/>
          </w:tcPr>
          <w:p>
            <w:r>
              <w:rPr>
                <w:rFonts w:ascii="Times New Roman" w:hAnsi="Times New Roman"/>
                <w:sz w:val="20"/>
              </w:rPr>
              <w:t>Gruene</w:t>
            </w:r>
          </w:p>
        </w:tc>
        <w:tc>
          <w:tcPr>
            <w:tcW w:type="dxa" w:w="1568"/>
          </w:tcPr>
          <w:p>
            <w:r>
              <w:rPr>
                <w:rFonts w:ascii="Times New Roman" w:hAnsi="Times New Roman"/>
                <w:sz w:val="20"/>
              </w:rPr>
              <w:t>8,4</w:t>
            </w:r>
          </w:p>
        </w:tc>
        <w:tc>
          <w:tcPr>
            <w:tcW w:type="dxa" w:w="1568"/>
          </w:tcPr>
          <w:p>
            <w:r>
              <w:rPr>
                <w:rFonts w:ascii="Times New Roman" w:hAnsi="Times New Roman"/>
                <w:sz w:val="20"/>
              </w:rPr>
              <w:t>8,9</w:t>
            </w:r>
          </w:p>
        </w:tc>
        <w:tc>
          <w:tcPr>
            <w:tcW w:type="dxa" w:w="1568"/>
          </w:tcPr>
          <w:p>
            <w:r>
              <w:rPr>
                <w:rFonts w:ascii="Times New Roman" w:hAnsi="Times New Roman"/>
                <w:sz w:val="20"/>
              </w:rPr>
              <w:t>14,8</w:t>
            </w:r>
          </w:p>
        </w:tc>
        <w:tc>
          <w:tcPr>
            <w:tcW w:type="dxa" w:w="1568"/>
          </w:tcPr>
          <w:p>
            <w:r>
              <w:rPr>
                <w:rFonts w:ascii="Times New Roman" w:hAnsi="Times New Roman"/>
                <w:sz w:val="20"/>
              </w:rPr>
              <w:t>11,6</w:t>
            </w:r>
          </w:p>
        </w:tc>
        <w:tc>
          <w:tcPr>
            <w:tcW w:type="dxa" w:w="1568"/>
          </w:tcPr>
          <w:p>
            <w:r>
              <w:rPr>
                <w:rFonts w:ascii="Times New Roman" w:hAnsi="Times New Roman"/>
                <w:sz w:val="20"/>
              </w:rPr>
              <w:t>10,93</w:t>
            </w:r>
          </w:p>
        </w:tc>
      </w:tr>
      <w:tr>
        <w:tc>
          <w:tcPr>
            <w:tcW w:type="dxa" w:w="1568"/>
          </w:tcPr>
          <w:p>
            <w:r>
              <w:rPr>
                <w:rFonts w:ascii="Times New Roman" w:hAnsi="Times New Roman"/>
                <w:sz w:val="20"/>
              </w:rPr>
              <w:t>FDP</w:t>
            </w:r>
          </w:p>
        </w:tc>
        <w:tc>
          <w:tcPr>
            <w:tcW w:type="dxa" w:w="1568"/>
          </w:tcPr>
          <w:p>
            <w:r>
              <w:rPr>
                <w:rFonts w:ascii="Times New Roman" w:hAnsi="Times New Roman"/>
                <w:sz w:val="20"/>
              </w:rPr>
              <w:t>4,8</w:t>
            </w:r>
          </w:p>
        </w:tc>
        <w:tc>
          <w:tcPr>
            <w:tcW w:type="dxa" w:w="1568"/>
          </w:tcPr>
          <w:p>
            <w:r>
              <w:rPr>
                <w:rFonts w:ascii="Times New Roman" w:hAnsi="Times New Roman"/>
                <w:sz w:val="20"/>
              </w:rPr>
              <w:t>10,7</w:t>
            </w:r>
          </w:p>
        </w:tc>
        <w:tc>
          <w:tcPr>
            <w:tcW w:type="dxa" w:w="1568"/>
          </w:tcPr>
          <w:p>
            <w:r>
              <w:rPr>
                <w:rFonts w:ascii="Times New Roman" w:hAnsi="Times New Roman"/>
                <w:sz w:val="20"/>
              </w:rPr>
              <w:t>11,5</w:t>
            </w:r>
          </w:p>
        </w:tc>
        <w:tc>
          <w:tcPr>
            <w:tcW w:type="dxa" w:w="1568"/>
          </w:tcPr>
          <w:p>
            <w:r>
              <w:rPr>
                <w:rFonts w:ascii="Times New Roman" w:hAnsi="Times New Roman"/>
                <w:sz w:val="20"/>
              </w:rPr>
              <w:t>4,3</w:t>
            </w:r>
          </w:p>
        </w:tc>
        <w:tc>
          <w:tcPr>
            <w:tcW w:type="dxa" w:w="1568"/>
          </w:tcPr>
          <w:p>
            <w:r>
              <w:rPr>
                <w:rFonts w:ascii="Times New Roman" w:hAnsi="Times New Roman"/>
                <w:sz w:val="20"/>
              </w:rPr>
              <w:t>7,83</w:t>
            </w:r>
          </w:p>
        </w:tc>
      </w:tr>
      <w:tr>
        <w:tc>
          <w:tcPr>
            <w:tcW w:type="dxa" w:w="1568"/>
          </w:tcPr>
          <w:p>
            <w:r>
              <w:rPr>
                <w:rFonts w:ascii="Times New Roman" w:hAnsi="Times New Roman"/>
                <w:sz w:val="20"/>
              </w:rPr>
              <w:t>Linke</w:t>
            </w:r>
          </w:p>
        </w:tc>
        <w:tc>
          <w:tcPr>
            <w:tcW w:type="dxa" w:w="1568"/>
          </w:tcPr>
          <w:p>
            <w:r>
              <w:rPr>
                <w:rFonts w:ascii="Times New Roman" w:hAnsi="Times New Roman"/>
                <w:sz w:val="20"/>
              </w:rPr>
              <w:t>8,6</w:t>
            </w:r>
          </w:p>
        </w:tc>
        <w:tc>
          <w:tcPr>
            <w:tcW w:type="dxa" w:w="1568"/>
          </w:tcPr>
          <w:p>
            <w:r>
              <w:rPr>
                <w:rFonts w:ascii="Times New Roman" w:hAnsi="Times New Roman"/>
                <w:sz w:val="20"/>
              </w:rPr>
              <w:t>9,2</w:t>
            </w:r>
          </w:p>
        </w:tc>
        <w:tc>
          <w:tcPr>
            <w:tcW w:type="dxa" w:w="1568"/>
          </w:tcPr>
          <w:p>
            <w:r>
              <w:rPr>
                <w:rFonts w:ascii="Times New Roman" w:hAnsi="Times New Roman"/>
                <w:sz w:val="20"/>
              </w:rPr>
              <w:t>4,9</w:t>
            </w:r>
          </w:p>
        </w:tc>
        <w:tc>
          <w:tcPr>
            <w:tcW w:type="dxa" w:w="1568"/>
          </w:tcPr>
          <w:p>
            <w:r>
              <w:rPr>
                <w:rFonts w:ascii="Times New Roman" w:hAnsi="Times New Roman"/>
                <w:sz w:val="20"/>
              </w:rPr>
              <w:t>8,8</w:t>
            </w:r>
          </w:p>
        </w:tc>
        <w:tc>
          <w:tcPr>
            <w:tcW w:type="dxa" w:w="1568"/>
          </w:tcPr>
          <w:p>
            <w:r>
              <w:rPr>
                <w:rFonts w:ascii="Times New Roman" w:hAnsi="Times New Roman"/>
                <w:sz w:val="20"/>
              </w:rPr>
              <w:t>7,88</w:t>
            </w:r>
          </w:p>
        </w:tc>
      </w:tr>
      <w:tr>
        <w:tc>
          <w:tcPr>
            <w:tcW w:type="dxa" w:w="1568"/>
          </w:tcPr>
          <w:p>
            <w:r>
              <w:rPr>
                <w:rFonts w:ascii="Times New Roman" w:hAnsi="Times New Roman"/>
                <w:sz w:val="20"/>
              </w:rPr>
              <w:t>AfD</w:t>
            </w:r>
          </w:p>
        </w:tc>
        <w:tc>
          <w:tcPr>
            <w:tcW w:type="dxa" w:w="1568"/>
          </w:tcPr>
          <w:p>
            <w:r>
              <w:rPr>
                <w:rFonts w:ascii="Times New Roman" w:hAnsi="Times New Roman"/>
                <w:sz w:val="20"/>
              </w:rPr>
              <w:t>4,7</w:t>
            </w:r>
          </w:p>
        </w:tc>
        <w:tc>
          <w:tcPr>
            <w:tcW w:type="dxa" w:w="1568"/>
          </w:tcPr>
          <w:p>
            <w:r>
              <w:rPr>
                <w:rFonts w:ascii="Times New Roman" w:hAnsi="Times New Roman"/>
                <w:sz w:val="20"/>
              </w:rPr>
              <w:t>12,6</w:t>
            </w:r>
          </w:p>
        </w:tc>
        <w:tc>
          <w:tcPr>
            <w:tcW w:type="dxa" w:w="1568"/>
          </w:tcPr>
          <w:p>
            <w:r>
              <w:rPr>
                <w:rFonts w:ascii="Times New Roman" w:hAnsi="Times New Roman"/>
                <w:sz w:val="20"/>
              </w:rPr>
              <w:t>10,3</w:t>
            </w:r>
          </w:p>
        </w:tc>
        <w:tc>
          <w:tcPr>
            <w:tcW w:type="dxa" w:w="1568"/>
          </w:tcPr>
          <w:p>
            <w:r>
              <w:rPr>
                <w:rFonts w:ascii="Times New Roman" w:hAnsi="Times New Roman"/>
                <w:sz w:val="20"/>
              </w:rPr>
              <w:t>20,8</w:t>
            </w:r>
          </w:p>
        </w:tc>
        <w:tc>
          <w:tcPr>
            <w:tcW w:type="dxa" w:w="1568"/>
          </w:tcPr>
          <w:p>
            <w:r>
              <w:rPr>
                <w:rFonts w:ascii="Times New Roman" w:hAnsi="Times New Roman"/>
                <w:sz w:val="20"/>
              </w:rPr>
              <w:t>12,10</w:t>
            </w:r>
          </w:p>
        </w:tc>
      </w:tr>
    </w:tbl>
    <w:p>
      <w:r>
        <w:rPr>
          <w:rFonts w:ascii="Times New Roman" w:hAnsi="Times New Roman"/>
          <w:i/>
          <w:color w:val="555555"/>
          <w:sz w:val="18"/>
        </w:rPr>
        <w:t>Quelle: Bundeswahlleiterin, amtliche Endergebnisse der Bundestagswahlen 2013, 2017, 2021, 2025. * CSU trat 2025 gemeinsam mit CDU an (Listenverbindung). [2]</w:t>
      </w:r>
    </w:p>
    <w:p>
      <w:pPr>
        <w:jc w:val="both"/>
      </w:pPr>
      <w:r>
        <w:rPr>
          <w:rFonts w:ascii="Times New Roman" w:hAnsi="Times New Roman"/>
          <w:sz w:val="22"/>
        </w:rPr>
        <w:t>Unter Anwendung der StiftFinG-Formel ergibt sich fuer die DES ein rechnerischer Anteil von rund 13,18 Prozent. Bei einem Globalzuschuss von 193,574 Millionen Euro im Jahr 2026 entspricht dies einem Betrag von circa 25,5 Millionen Euro pro Jahr.</w:t>
      </w:r>
    </w:p>
    <w:p>
      <w:pPr>
        <w:pStyle w:val="Heading2"/>
      </w:pPr>
      <w:r>
        <w:rPr>
          <w:rFonts w:ascii="Times New Roman" w:hAnsi="Times New Roman"/>
          <w:color w:val="000000"/>
        </w:rPr>
        <w:t>2.3  Foerdervoraussetzungen</w:t>
      </w:r>
    </w:p>
    <w:p>
      <w:pPr>
        <w:jc w:val="both"/>
      </w:pPr>
      <w:r>
        <w:rPr>
          <w:rFonts w:ascii="Times New Roman" w:hAnsi="Times New Roman"/>
          <w:sz w:val="22"/>
        </w:rPr>
        <w:t>Das StiftFinG knuepft die Foerderfaehigkeit an drei kumulative Voraussetzungen:</w:t>
      </w:r>
    </w:p>
    <w:tbl>
      <w:tblPr>
        <w:tblStyle w:val="TableGrid"/>
        <w:tblW w:type="auto" w:w="0"/>
        <w:jc w:val="center"/>
        <w:tblLook w:firstColumn="1" w:firstRow="1" w:lastColumn="0" w:lastRow="0" w:noHBand="0" w:noVBand="1" w:val="04A0"/>
      </w:tblPr>
      <w:tblGrid>
        <w:gridCol w:w="3135"/>
        <w:gridCol w:w="3135"/>
        <w:gridCol w:w="3135"/>
      </w:tblGrid>
      <w:tr>
        <w:tc>
          <w:tcPr>
            <w:tcW w:type="dxa" w:w="3135"/>
            <w:shd w:fill="E8E8E8" w:val="clear"/>
          </w:tcPr>
          <w:p>
            <w:pPr>
              <w:jc w:val="left"/>
            </w:pPr>
            <w:r>
              <w:rPr>
                <w:rFonts w:ascii="Times New Roman" w:hAnsi="Times New Roman"/>
                <w:b/>
                <w:sz w:val="20"/>
              </w:rPr>
              <w:t>Voraussetzung</w:t>
            </w:r>
          </w:p>
        </w:tc>
        <w:tc>
          <w:tcPr>
            <w:tcW w:type="dxa" w:w="3135"/>
            <w:shd w:fill="E8E8E8" w:val="clear"/>
          </w:tcPr>
          <w:p>
            <w:pPr>
              <w:jc w:val="left"/>
            </w:pPr>
            <w:r>
              <w:rPr>
                <w:rFonts w:ascii="Times New Roman" w:hAnsi="Times New Roman"/>
                <w:b/>
                <w:sz w:val="20"/>
              </w:rPr>
              <w:t>Rechtsgrundlage</w:t>
            </w:r>
          </w:p>
        </w:tc>
        <w:tc>
          <w:tcPr>
            <w:tcW w:type="dxa" w:w="3135"/>
            <w:shd w:fill="E8E8E8" w:val="clear"/>
          </w:tcPr>
          <w:p>
            <w:pPr>
              <w:jc w:val="left"/>
            </w:pPr>
            <w:r>
              <w:rPr>
                <w:rFonts w:ascii="Times New Roman" w:hAnsi="Times New Roman"/>
                <w:b/>
                <w:sz w:val="20"/>
              </w:rPr>
              <w:t>Status DES (Maerz 2026)</w:t>
            </w:r>
          </w:p>
        </w:tc>
      </w:tr>
      <w:tr>
        <w:tc>
          <w:tcPr>
            <w:tcW w:type="dxa" w:w="3135"/>
          </w:tcPr>
          <w:p>
            <w:r>
              <w:rPr>
                <w:rFonts w:ascii="Times New Roman" w:hAnsi="Times New Roman"/>
                <w:sz w:val="20"/>
              </w:rPr>
              <w:t>Nahestehende Partei in drei aufeinanderfolgenden Legislaturperioden im Bundestag</w:t>
            </w:r>
          </w:p>
        </w:tc>
        <w:tc>
          <w:tcPr>
            <w:tcW w:type="dxa" w:w="3135"/>
          </w:tcPr>
          <w:p>
            <w:r>
              <w:rPr>
                <w:rFonts w:ascii="Times New Roman" w:hAnsi="Times New Roman"/>
                <w:sz w:val="20"/>
              </w:rPr>
              <w:t>Paragraph 2 Abs. 2 StiftFinG</w:t>
            </w:r>
          </w:p>
        </w:tc>
        <w:tc>
          <w:tcPr>
            <w:tcW w:type="dxa" w:w="3135"/>
          </w:tcPr>
          <w:p>
            <w:r>
              <w:rPr>
                <w:rFonts w:ascii="Times New Roman" w:hAnsi="Times New Roman"/>
                <w:sz w:val="20"/>
              </w:rPr>
              <w:t>Erfuellt (seit Feb. 2025)</w:t>
            </w:r>
          </w:p>
        </w:tc>
      </w:tr>
      <w:tr>
        <w:tc>
          <w:tcPr>
            <w:tcW w:type="dxa" w:w="3135"/>
          </w:tcPr>
          <w:p>
            <w:r>
              <w:rPr>
                <w:rFonts w:ascii="Times New Roman" w:hAnsi="Times New Roman"/>
                <w:sz w:val="20"/>
              </w:rPr>
              <w:t>Verfassungstreue: Aktives Eintreten fuer freiheitlich-demokratische Grundordnung</w:t>
            </w:r>
          </w:p>
        </w:tc>
        <w:tc>
          <w:tcPr>
            <w:tcW w:type="dxa" w:w="3135"/>
          </w:tcPr>
          <w:p>
            <w:r>
              <w:rPr>
                <w:rFonts w:ascii="Times New Roman" w:hAnsi="Times New Roman"/>
                <w:sz w:val="20"/>
              </w:rPr>
              <w:t>Paragraph 2 Abs. 4 StiftFinG</w:t>
            </w:r>
          </w:p>
        </w:tc>
        <w:tc>
          <w:tcPr>
            <w:tcW w:type="dxa" w:w="3135"/>
          </w:tcPr>
          <w:p>
            <w:r>
              <w:rPr>
                <w:rFonts w:ascii="Times New Roman" w:hAnsi="Times New Roman"/>
                <w:sz w:val="20"/>
              </w:rPr>
              <w:t>Pruefung laeuft</w:t>
            </w:r>
          </w:p>
        </w:tc>
      </w:tr>
      <w:tr>
        <w:tc>
          <w:tcPr>
            <w:tcW w:type="dxa" w:w="3135"/>
          </w:tcPr>
          <w:p>
            <w:r>
              <w:rPr>
                <w:rFonts w:ascii="Times New Roman" w:hAnsi="Times New Roman"/>
                <w:sz w:val="20"/>
              </w:rPr>
              <w:t>Keine Einstufung als "Verdachtsfall" oder "gesichert extremistisch" durch BfV</w:t>
            </w:r>
          </w:p>
        </w:tc>
        <w:tc>
          <w:tcPr>
            <w:tcW w:type="dxa" w:w="3135"/>
          </w:tcPr>
          <w:p>
            <w:r>
              <w:rPr>
                <w:rFonts w:ascii="Times New Roman" w:hAnsi="Times New Roman"/>
                <w:sz w:val="20"/>
              </w:rPr>
              <w:t>Paragraph 2 Abs. 5 StiftFinG</w:t>
            </w:r>
          </w:p>
        </w:tc>
        <w:tc>
          <w:tcPr>
            <w:tcW w:type="dxa" w:w="3135"/>
          </w:tcPr>
          <w:p>
            <w:r>
              <w:rPr>
                <w:rFonts w:ascii="Times New Roman" w:hAnsi="Times New Roman"/>
                <w:sz w:val="20"/>
              </w:rPr>
              <w:t>AfD als Verdachtsfall eingestuft</w:t>
            </w:r>
          </w:p>
        </w:tc>
      </w:tr>
    </w:tbl>
    <w:p>
      <w:r>
        <w:rPr>
          <w:rFonts w:ascii="Times New Roman" w:hAnsi="Times New Roman"/>
          <w:i/>
          <w:color w:val="555555"/>
          <w:sz w:val="18"/>
        </w:rPr>
        <w:t>Quelle: StiftFinG, Bundesgesetzblatt 2023, abrufbar unter gesetze-im-internet.de. [3]</w:t>
      </w:r>
    </w:p>
    <w:p>
      <w:pPr>
        <w:jc w:val="both"/>
      </w:pPr>
      <w:r>
        <w:rPr>
          <w:rFonts w:ascii="Times New Roman" w:hAnsi="Times New Roman"/>
          <w:b/>
          <w:sz w:val="22"/>
        </w:rPr>
        <w:t xml:space="preserve">Kritische Einordnung: </w:t>
      </w:r>
      <w:r>
        <w:rPr>
          <w:rFonts w:ascii="Times New Roman" w:hAnsi="Times New Roman"/>
          <w:sz w:val="22"/>
        </w:rPr>
        <w:t>Die Drei-Legislaturperioden-Regel ist international unueblich und wurde von Verfassungsrechtler Christoph Moellers (HU Berlin) als "riskant" im Hinblick auf die Chancengleichheit der Parteien bewertet. Die Verfassungstreue-Klausel verlagert die Entscheidung auf das Bundesministerium des Innern, dessen Leitung politisch ernannt wird. Die Verknuepfung mit der BfV-Einstufung schafft einen Zirkelschluss: Das vom Innenminister geleitete BfV stuft die Partei ein, und dasselbe Ministerium entscheidet ueber die Foerderfaehigkeit der Stiftung.</w:t>
      </w:r>
    </w:p>
    <w:p>
      <w:r>
        <w:br w:type="page"/>
      </w:r>
    </w:p>
    <w:p>
      <w:pPr>
        <w:pStyle w:val="Heading1"/>
      </w:pPr>
      <w:r>
        <w:rPr>
          <w:rFonts w:ascii="Times New Roman" w:hAnsi="Times New Roman"/>
          <w:color w:val="000000"/>
        </w:rPr>
        <w:t>3  Mittelverteilung und Foerderzahlen</w:t>
      </w:r>
    </w:p>
    <w:p>
      <w:pPr>
        <w:pStyle w:val="Heading2"/>
      </w:pPr>
      <w:r>
        <w:rPr>
          <w:rFonts w:ascii="Times New Roman" w:hAnsi="Times New Roman"/>
          <w:color w:val="000000"/>
        </w:rPr>
        <w:t>3.1  Globalzuschuesse 2015-2026</w:t>
      </w:r>
    </w:p>
    <w:p>
      <w:pPr>
        <w:jc w:val="both"/>
      </w:pPr>
      <w:r>
        <w:rPr>
          <w:rFonts w:ascii="Times New Roman" w:hAnsi="Times New Roman"/>
          <w:sz w:val="22"/>
        </w:rPr>
        <w:t>Die Globalzuschuesse an parteinahe Stiftungen (Haushaltstitel 685 12 des Bundesministeriums des Innern) haben sich in den vergangenen Jahren wie folgt entwickelt:</w:t>
      </w:r>
    </w:p>
    <w:tbl>
      <w:tblPr>
        <w:tblStyle w:val="TableGrid"/>
        <w:tblW w:type="auto" w:w="0"/>
        <w:jc w:val="center"/>
        <w:tblLook w:firstColumn="1" w:firstRow="1" w:lastColumn="0" w:lastRow="0" w:noHBand="0" w:noVBand="1" w:val="04A0"/>
      </w:tblPr>
      <w:tblGrid>
        <w:gridCol w:w="3135"/>
        <w:gridCol w:w="3135"/>
        <w:gridCol w:w="3135"/>
      </w:tblGrid>
      <w:tr>
        <w:tc>
          <w:tcPr>
            <w:tcW w:type="dxa" w:w="3135"/>
            <w:shd w:fill="E8E8E8" w:val="clear"/>
          </w:tcPr>
          <w:p>
            <w:pPr>
              <w:jc w:val="left"/>
            </w:pPr>
            <w:r>
              <w:rPr>
                <w:rFonts w:ascii="Times New Roman" w:hAnsi="Times New Roman"/>
                <w:b/>
                <w:sz w:val="20"/>
              </w:rPr>
              <w:t>Jahr</w:t>
            </w:r>
          </w:p>
        </w:tc>
        <w:tc>
          <w:tcPr>
            <w:tcW w:type="dxa" w:w="3135"/>
            <w:shd w:fill="E8E8E8" w:val="clear"/>
          </w:tcPr>
          <w:p>
            <w:pPr>
              <w:jc w:val="left"/>
            </w:pPr>
            <w:r>
              <w:rPr>
                <w:rFonts w:ascii="Times New Roman" w:hAnsi="Times New Roman"/>
                <w:b/>
                <w:sz w:val="20"/>
              </w:rPr>
              <w:t>Betrag (Mio. Euro)</w:t>
            </w:r>
          </w:p>
        </w:tc>
        <w:tc>
          <w:tcPr>
            <w:tcW w:type="dxa" w:w="3135"/>
            <w:shd w:fill="E8E8E8" w:val="clear"/>
          </w:tcPr>
          <w:p>
            <w:pPr>
              <w:jc w:val="left"/>
            </w:pPr>
            <w:r>
              <w:rPr>
                <w:rFonts w:ascii="Times New Roman" w:hAnsi="Times New Roman"/>
                <w:b/>
                <w:sz w:val="20"/>
              </w:rPr>
              <w:t>Veraenderung</w:t>
            </w:r>
          </w:p>
        </w:tc>
      </w:tr>
      <w:tr>
        <w:tc>
          <w:tcPr>
            <w:tcW w:type="dxa" w:w="3135"/>
          </w:tcPr>
          <w:p>
            <w:r>
              <w:rPr>
                <w:rFonts w:ascii="Times New Roman" w:hAnsi="Times New Roman"/>
                <w:sz w:val="20"/>
              </w:rPr>
              <w:t>2015</w:t>
            </w:r>
          </w:p>
        </w:tc>
        <w:tc>
          <w:tcPr>
            <w:tcW w:type="dxa" w:w="3135"/>
          </w:tcPr>
          <w:p>
            <w:r>
              <w:rPr>
                <w:rFonts w:ascii="Times New Roman" w:hAnsi="Times New Roman"/>
                <w:sz w:val="20"/>
              </w:rPr>
              <w:t>95,0</w:t>
            </w:r>
          </w:p>
        </w:tc>
        <w:tc>
          <w:tcPr>
            <w:tcW w:type="dxa" w:w="3135"/>
          </w:tcPr>
          <w:p>
            <w:r>
              <w:rPr>
                <w:rFonts w:ascii="Times New Roman" w:hAnsi="Times New Roman"/>
                <w:sz w:val="20"/>
              </w:rPr>
            </w:r>
          </w:p>
        </w:tc>
      </w:tr>
      <w:tr>
        <w:tc>
          <w:tcPr>
            <w:tcW w:type="dxa" w:w="3135"/>
          </w:tcPr>
          <w:p>
            <w:r>
              <w:rPr>
                <w:rFonts w:ascii="Times New Roman" w:hAnsi="Times New Roman"/>
                <w:sz w:val="20"/>
              </w:rPr>
              <w:t>2016</w:t>
            </w:r>
          </w:p>
        </w:tc>
        <w:tc>
          <w:tcPr>
            <w:tcW w:type="dxa" w:w="3135"/>
          </w:tcPr>
          <w:p>
            <w:r>
              <w:rPr>
                <w:rFonts w:ascii="Times New Roman" w:hAnsi="Times New Roman"/>
                <w:sz w:val="20"/>
              </w:rPr>
              <w:t>100,0</w:t>
            </w:r>
          </w:p>
        </w:tc>
        <w:tc>
          <w:tcPr>
            <w:tcW w:type="dxa" w:w="3135"/>
          </w:tcPr>
          <w:p>
            <w:r>
              <w:rPr>
                <w:rFonts w:ascii="Times New Roman" w:hAnsi="Times New Roman"/>
                <w:sz w:val="20"/>
              </w:rPr>
              <w:t>+5,3 %</w:t>
            </w:r>
          </w:p>
        </w:tc>
      </w:tr>
      <w:tr>
        <w:tc>
          <w:tcPr>
            <w:tcW w:type="dxa" w:w="3135"/>
          </w:tcPr>
          <w:p>
            <w:r>
              <w:rPr>
                <w:rFonts w:ascii="Times New Roman" w:hAnsi="Times New Roman"/>
                <w:sz w:val="20"/>
              </w:rPr>
              <w:t>2017</w:t>
            </w:r>
          </w:p>
        </w:tc>
        <w:tc>
          <w:tcPr>
            <w:tcW w:type="dxa" w:w="3135"/>
          </w:tcPr>
          <w:p>
            <w:r>
              <w:rPr>
                <w:rFonts w:ascii="Times New Roman" w:hAnsi="Times New Roman"/>
                <w:sz w:val="20"/>
              </w:rPr>
              <w:t>105,0</w:t>
            </w:r>
          </w:p>
        </w:tc>
        <w:tc>
          <w:tcPr>
            <w:tcW w:type="dxa" w:w="3135"/>
          </w:tcPr>
          <w:p>
            <w:r>
              <w:rPr>
                <w:rFonts w:ascii="Times New Roman" w:hAnsi="Times New Roman"/>
                <w:sz w:val="20"/>
              </w:rPr>
              <w:t>+5,0 %</w:t>
            </w:r>
          </w:p>
        </w:tc>
      </w:tr>
      <w:tr>
        <w:tc>
          <w:tcPr>
            <w:tcW w:type="dxa" w:w="3135"/>
          </w:tcPr>
          <w:p>
            <w:r>
              <w:rPr>
                <w:rFonts w:ascii="Times New Roman" w:hAnsi="Times New Roman"/>
                <w:sz w:val="20"/>
              </w:rPr>
              <w:t>2018</w:t>
            </w:r>
          </w:p>
        </w:tc>
        <w:tc>
          <w:tcPr>
            <w:tcW w:type="dxa" w:w="3135"/>
          </w:tcPr>
          <w:p>
            <w:r>
              <w:rPr>
                <w:rFonts w:ascii="Times New Roman" w:hAnsi="Times New Roman"/>
                <w:sz w:val="20"/>
              </w:rPr>
              <w:t>120,0</w:t>
            </w:r>
          </w:p>
        </w:tc>
        <w:tc>
          <w:tcPr>
            <w:tcW w:type="dxa" w:w="3135"/>
          </w:tcPr>
          <w:p>
            <w:r>
              <w:rPr>
                <w:rFonts w:ascii="Times New Roman" w:hAnsi="Times New Roman"/>
                <w:sz w:val="20"/>
              </w:rPr>
              <w:t>+14,3 %</w:t>
            </w:r>
          </w:p>
        </w:tc>
      </w:tr>
      <w:tr>
        <w:tc>
          <w:tcPr>
            <w:tcW w:type="dxa" w:w="3135"/>
          </w:tcPr>
          <w:p>
            <w:r>
              <w:rPr>
                <w:rFonts w:ascii="Times New Roman" w:hAnsi="Times New Roman"/>
                <w:sz w:val="20"/>
              </w:rPr>
              <w:t>2019</w:t>
            </w:r>
          </w:p>
        </w:tc>
        <w:tc>
          <w:tcPr>
            <w:tcW w:type="dxa" w:w="3135"/>
          </w:tcPr>
          <w:p>
            <w:r>
              <w:rPr>
                <w:rFonts w:ascii="Times New Roman" w:hAnsi="Times New Roman"/>
                <w:sz w:val="20"/>
              </w:rPr>
              <w:t>130,0</w:t>
            </w:r>
          </w:p>
        </w:tc>
        <w:tc>
          <w:tcPr>
            <w:tcW w:type="dxa" w:w="3135"/>
          </w:tcPr>
          <w:p>
            <w:r>
              <w:rPr>
                <w:rFonts w:ascii="Times New Roman" w:hAnsi="Times New Roman"/>
                <w:sz w:val="20"/>
              </w:rPr>
              <w:t>+8,3 %</w:t>
            </w:r>
          </w:p>
        </w:tc>
      </w:tr>
      <w:tr>
        <w:tc>
          <w:tcPr>
            <w:tcW w:type="dxa" w:w="3135"/>
          </w:tcPr>
          <w:p>
            <w:r>
              <w:rPr>
                <w:rFonts w:ascii="Times New Roman" w:hAnsi="Times New Roman"/>
                <w:sz w:val="20"/>
              </w:rPr>
              <w:t>2020</w:t>
            </w:r>
          </w:p>
        </w:tc>
        <w:tc>
          <w:tcPr>
            <w:tcW w:type="dxa" w:w="3135"/>
          </w:tcPr>
          <w:p>
            <w:r>
              <w:rPr>
                <w:rFonts w:ascii="Times New Roman" w:hAnsi="Times New Roman"/>
                <w:sz w:val="20"/>
              </w:rPr>
              <w:t>135,0</w:t>
            </w:r>
          </w:p>
        </w:tc>
        <w:tc>
          <w:tcPr>
            <w:tcW w:type="dxa" w:w="3135"/>
          </w:tcPr>
          <w:p>
            <w:r>
              <w:rPr>
                <w:rFonts w:ascii="Times New Roman" w:hAnsi="Times New Roman"/>
                <w:sz w:val="20"/>
              </w:rPr>
              <w:t>+3,8 %</w:t>
            </w:r>
          </w:p>
        </w:tc>
      </w:tr>
      <w:tr>
        <w:tc>
          <w:tcPr>
            <w:tcW w:type="dxa" w:w="3135"/>
          </w:tcPr>
          <w:p>
            <w:r>
              <w:rPr>
                <w:rFonts w:ascii="Times New Roman" w:hAnsi="Times New Roman"/>
                <w:sz w:val="20"/>
              </w:rPr>
              <w:t>2021</w:t>
            </w:r>
          </w:p>
        </w:tc>
        <w:tc>
          <w:tcPr>
            <w:tcW w:type="dxa" w:w="3135"/>
          </w:tcPr>
          <w:p>
            <w:r>
              <w:rPr>
                <w:rFonts w:ascii="Times New Roman" w:hAnsi="Times New Roman"/>
                <w:sz w:val="20"/>
              </w:rPr>
              <w:t>140,0</w:t>
            </w:r>
          </w:p>
        </w:tc>
        <w:tc>
          <w:tcPr>
            <w:tcW w:type="dxa" w:w="3135"/>
          </w:tcPr>
          <w:p>
            <w:r>
              <w:rPr>
                <w:rFonts w:ascii="Times New Roman" w:hAnsi="Times New Roman"/>
                <w:sz w:val="20"/>
              </w:rPr>
              <w:t>+3,7 %</w:t>
            </w:r>
          </w:p>
        </w:tc>
      </w:tr>
      <w:tr>
        <w:tc>
          <w:tcPr>
            <w:tcW w:type="dxa" w:w="3135"/>
          </w:tcPr>
          <w:p>
            <w:r>
              <w:rPr>
                <w:rFonts w:ascii="Times New Roman" w:hAnsi="Times New Roman"/>
                <w:sz w:val="20"/>
              </w:rPr>
              <w:t>2022</w:t>
            </w:r>
          </w:p>
        </w:tc>
        <w:tc>
          <w:tcPr>
            <w:tcW w:type="dxa" w:w="3135"/>
          </w:tcPr>
          <w:p>
            <w:r>
              <w:rPr>
                <w:rFonts w:ascii="Times New Roman" w:hAnsi="Times New Roman"/>
                <w:sz w:val="20"/>
              </w:rPr>
              <w:t>145,0</w:t>
            </w:r>
          </w:p>
        </w:tc>
        <w:tc>
          <w:tcPr>
            <w:tcW w:type="dxa" w:w="3135"/>
          </w:tcPr>
          <w:p>
            <w:r>
              <w:rPr>
                <w:rFonts w:ascii="Times New Roman" w:hAnsi="Times New Roman"/>
                <w:sz w:val="20"/>
              </w:rPr>
              <w:t>+3,6 %</w:t>
            </w:r>
          </w:p>
        </w:tc>
      </w:tr>
      <w:tr>
        <w:tc>
          <w:tcPr>
            <w:tcW w:type="dxa" w:w="3135"/>
          </w:tcPr>
          <w:p>
            <w:r>
              <w:rPr>
                <w:rFonts w:ascii="Times New Roman" w:hAnsi="Times New Roman"/>
                <w:sz w:val="20"/>
              </w:rPr>
              <w:t>2023</w:t>
            </w:r>
          </w:p>
        </w:tc>
        <w:tc>
          <w:tcPr>
            <w:tcW w:type="dxa" w:w="3135"/>
          </w:tcPr>
          <w:p>
            <w:r>
              <w:rPr>
                <w:rFonts w:ascii="Times New Roman" w:hAnsi="Times New Roman"/>
                <w:sz w:val="20"/>
              </w:rPr>
              <w:t>148,0</w:t>
            </w:r>
          </w:p>
        </w:tc>
        <w:tc>
          <w:tcPr>
            <w:tcW w:type="dxa" w:w="3135"/>
          </w:tcPr>
          <w:p>
            <w:r>
              <w:rPr>
                <w:rFonts w:ascii="Times New Roman" w:hAnsi="Times New Roman"/>
                <w:sz w:val="20"/>
              </w:rPr>
              <w:t>+2,1 %</w:t>
            </w:r>
          </w:p>
        </w:tc>
      </w:tr>
      <w:tr>
        <w:tc>
          <w:tcPr>
            <w:tcW w:type="dxa" w:w="3135"/>
          </w:tcPr>
          <w:p>
            <w:r>
              <w:rPr>
                <w:rFonts w:ascii="Times New Roman" w:hAnsi="Times New Roman"/>
                <w:sz w:val="20"/>
              </w:rPr>
              <w:t>2024</w:t>
            </w:r>
          </w:p>
        </w:tc>
        <w:tc>
          <w:tcPr>
            <w:tcW w:type="dxa" w:w="3135"/>
          </w:tcPr>
          <w:p>
            <w:r>
              <w:rPr>
                <w:rFonts w:ascii="Times New Roman" w:hAnsi="Times New Roman"/>
                <w:sz w:val="20"/>
              </w:rPr>
              <w:t>148,0</w:t>
            </w:r>
          </w:p>
        </w:tc>
        <w:tc>
          <w:tcPr>
            <w:tcW w:type="dxa" w:w="3135"/>
          </w:tcPr>
          <w:p>
            <w:r>
              <w:rPr>
                <w:rFonts w:ascii="Times New Roman" w:hAnsi="Times New Roman"/>
                <w:sz w:val="20"/>
              </w:rPr>
              <w:t>+/- 0 %</w:t>
            </w:r>
          </w:p>
        </w:tc>
      </w:tr>
      <w:tr>
        <w:tc>
          <w:tcPr>
            <w:tcW w:type="dxa" w:w="3135"/>
          </w:tcPr>
          <w:p>
            <w:r>
              <w:rPr>
                <w:rFonts w:ascii="Times New Roman" w:hAnsi="Times New Roman"/>
                <w:sz w:val="20"/>
              </w:rPr>
              <w:t>2025</w:t>
            </w:r>
          </w:p>
        </w:tc>
        <w:tc>
          <w:tcPr>
            <w:tcW w:type="dxa" w:w="3135"/>
          </w:tcPr>
          <w:p>
            <w:r>
              <w:rPr>
                <w:rFonts w:ascii="Times New Roman" w:hAnsi="Times New Roman"/>
                <w:sz w:val="20"/>
              </w:rPr>
              <w:t>168,0</w:t>
            </w:r>
          </w:p>
        </w:tc>
        <w:tc>
          <w:tcPr>
            <w:tcW w:type="dxa" w:w="3135"/>
          </w:tcPr>
          <w:p>
            <w:r>
              <w:rPr>
                <w:rFonts w:ascii="Times New Roman" w:hAnsi="Times New Roman"/>
                <w:sz w:val="20"/>
              </w:rPr>
              <w:t>+13,5 %</w:t>
            </w:r>
          </w:p>
        </w:tc>
      </w:tr>
      <w:tr>
        <w:tc>
          <w:tcPr>
            <w:tcW w:type="dxa" w:w="3135"/>
          </w:tcPr>
          <w:p>
            <w:r>
              <w:rPr>
                <w:rFonts w:ascii="Times New Roman" w:hAnsi="Times New Roman"/>
                <w:sz w:val="20"/>
              </w:rPr>
              <w:t>2026</w:t>
            </w:r>
          </w:p>
        </w:tc>
        <w:tc>
          <w:tcPr>
            <w:tcW w:type="dxa" w:w="3135"/>
          </w:tcPr>
          <w:p>
            <w:r>
              <w:rPr>
                <w:rFonts w:ascii="Times New Roman" w:hAnsi="Times New Roman"/>
                <w:sz w:val="20"/>
              </w:rPr>
              <w:t>193,574</w:t>
            </w:r>
          </w:p>
        </w:tc>
        <w:tc>
          <w:tcPr>
            <w:tcW w:type="dxa" w:w="3135"/>
          </w:tcPr>
          <w:p>
            <w:r>
              <w:rPr>
                <w:rFonts w:ascii="Times New Roman" w:hAnsi="Times New Roman"/>
                <w:sz w:val="20"/>
              </w:rPr>
              <w:t>+15,2 %</w:t>
            </w:r>
          </w:p>
        </w:tc>
      </w:tr>
    </w:tbl>
    <w:p>
      <w:r>
        <w:rPr>
          <w:rFonts w:ascii="Times New Roman" w:hAnsi="Times New Roman"/>
          <w:i/>
          <w:color w:val="555555"/>
          <w:sz w:val="18"/>
        </w:rPr>
        <w:t>Quelle: Bundeshaushalt, Einzelplan 06 (BMI), Titel 685 12, Jahre 2015-2026. Abrufbar unter bundeshaushalt.de. [4]</w:t>
      </w:r>
    </w:p>
    <w:p>
      <w:pPr>
        <w:jc w:val="both"/>
      </w:pPr>
      <w:r>
        <w:rPr>
          <w:rFonts w:ascii="Times New Roman" w:hAnsi="Times New Roman"/>
          <w:sz w:val="22"/>
        </w:rPr>
        <w:t>Insgesamt sind die Globalzuschuesse seit 2015 um ueber 100 Prozent gestiegen. Die Gesamtfoerderung aller parteinahen Stiftungen (einschliesslich Projektmittel, Auslandsbueros und Sonderzuweisungen) belief sich 2024 auf rund 687,5 Millionen Euro.</w:t>
      </w:r>
    </w:p>
    <w:p>
      <w:pPr>
        <w:pStyle w:val="Heading2"/>
      </w:pPr>
      <w:r>
        <w:rPr>
          <w:rFonts w:ascii="Times New Roman" w:hAnsi="Times New Roman"/>
          <w:color w:val="000000"/>
        </w:rPr>
        <w:t>3.2  Verteilung auf die einzelnen Stiftungen</w:t>
      </w:r>
    </w:p>
    <w:p>
      <w:pPr>
        <w:jc w:val="both"/>
      </w:pPr>
      <w:r>
        <w:rPr>
          <w:rFonts w:ascii="Times New Roman" w:hAnsi="Times New Roman"/>
          <w:sz w:val="22"/>
        </w:rPr>
        <w:t>Die sechs derzeit gefoerderten Stiftungen und ihre geschaetzten Anteile fuer 2026 (auf Basis der StiftFinG-Formel ohne DES):</w:t>
      </w:r>
    </w:p>
    <w:tbl>
      <w:tblPr>
        <w:tblStyle w:val="TableGrid"/>
        <w:tblW w:type="auto" w:w="0"/>
        <w:jc w:val="center"/>
        <w:tblLook w:firstColumn="1" w:firstRow="1" w:lastColumn="0" w:lastRow="0" w:noHBand="0" w:noVBand="1" w:val="04A0"/>
      </w:tblPr>
      <w:tblGrid>
        <w:gridCol w:w="1881"/>
        <w:gridCol w:w="1881"/>
        <w:gridCol w:w="1881"/>
        <w:gridCol w:w="1881"/>
        <w:gridCol w:w="1881"/>
      </w:tblGrid>
      <w:tr>
        <w:tc>
          <w:tcPr>
            <w:tcW w:type="dxa" w:w="1881"/>
            <w:shd w:fill="E8E8E8" w:val="clear"/>
          </w:tcPr>
          <w:p>
            <w:pPr>
              <w:jc w:val="left"/>
            </w:pPr>
            <w:r>
              <w:rPr>
                <w:rFonts w:ascii="Times New Roman" w:hAnsi="Times New Roman"/>
                <w:b/>
                <w:sz w:val="20"/>
              </w:rPr>
              <w:t>Stiftung</w:t>
            </w:r>
          </w:p>
        </w:tc>
        <w:tc>
          <w:tcPr>
            <w:tcW w:type="dxa" w:w="1881"/>
            <w:shd w:fill="E8E8E8" w:val="clear"/>
          </w:tcPr>
          <w:p>
            <w:pPr>
              <w:jc w:val="left"/>
            </w:pPr>
            <w:r>
              <w:rPr>
                <w:rFonts w:ascii="Times New Roman" w:hAnsi="Times New Roman"/>
                <w:b/>
                <w:sz w:val="20"/>
              </w:rPr>
              <w:t>Partei</w:t>
            </w:r>
          </w:p>
        </w:tc>
        <w:tc>
          <w:tcPr>
            <w:tcW w:type="dxa" w:w="1881"/>
            <w:shd w:fill="E8E8E8" w:val="clear"/>
          </w:tcPr>
          <w:p>
            <w:pPr>
              <w:jc w:val="left"/>
            </w:pPr>
            <w:r>
              <w:rPr>
                <w:rFonts w:ascii="Times New Roman" w:hAnsi="Times New Roman"/>
                <w:b/>
                <w:sz w:val="20"/>
              </w:rPr>
              <w:t>Anteil (%)</w:t>
            </w:r>
          </w:p>
        </w:tc>
        <w:tc>
          <w:tcPr>
            <w:tcW w:type="dxa" w:w="1881"/>
            <w:shd w:fill="E8E8E8" w:val="clear"/>
          </w:tcPr>
          <w:p>
            <w:pPr>
              <w:jc w:val="left"/>
            </w:pPr>
            <w:r>
              <w:rPr>
                <w:rFonts w:ascii="Times New Roman" w:hAnsi="Times New Roman"/>
                <w:b/>
                <w:sz w:val="20"/>
              </w:rPr>
              <w:t>Betrag 2026 (Mio. Euro)</w:t>
            </w:r>
          </w:p>
        </w:tc>
        <w:tc>
          <w:tcPr>
            <w:tcW w:type="dxa" w:w="1881"/>
            <w:shd w:fill="E8E8E8" w:val="clear"/>
          </w:tcPr>
          <w:p>
            <w:pPr>
              <w:jc w:val="left"/>
            </w:pPr>
            <w:r>
              <w:rPr>
                <w:rFonts w:ascii="Times New Roman" w:hAnsi="Times New Roman"/>
                <w:b/>
                <w:sz w:val="20"/>
              </w:rPr>
              <w:t>Status</w:t>
            </w:r>
          </w:p>
        </w:tc>
      </w:tr>
      <w:tr>
        <w:tc>
          <w:tcPr>
            <w:tcW w:type="dxa" w:w="1881"/>
          </w:tcPr>
          <w:p>
            <w:r>
              <w:rPr>
                <w:rFonts w:ascii="Times New Roman" w:hAnsi="Times New Roman"/>
                <w:sz w:val="20"/>
              </w:rPr>
              <w:t>Konrad-Adenauer-Stiftung</w:t>
            </w:r>
          </w:p>
        </w:tc>
        <w:tc>
          <w:tcPr>
            <w:tcW w:type="dxa" w:w="1881"/>
          </w:tcPr>
          <w:p>
            <w:r>
              <w:rPr>
                <w:rFonts w:ascii="Times New Roman" w:hAnsi="Times New Roman"/>
                <w:sz w:val="20"/>
              </w:rPr>
              <w:t>CDU</w:t>
            </w:r>
          </w:p>
        </w:tc>
        <w:tc>
          <w:tcPr>
            <w:tcW w:type="dxa" w:w="1881"/>
          </w:tcPr>
          <w:p>
            <w:r>
              <w:rPr>
                <w:rFonts w:ascii="Times New Roman" w:hAnsi="Times New Roman"/>
                <w:sz w:val="20"/>
              </w:rPr>
              <w:t>26,7</w:t>
            </w:r>
          </w:p>
        </w:tc>
        <w:tc>
          <w:tcPr>
            <w:tcW w:type="dxa" w:w="1881"/>
          </w:tcPr>
          <w:p>
            <w:r>
              <w:rPr>
                <w:rFonts w:ascii="Times New Roman" w:hAnsi="Times New Roman"/>
                <w:sz w:val="20"/>
              </w:rPr>
              <w:t>~51,7</w:t>
            </w:r>
          </w:p>
        </w:tc>
        <w:tc>
          <w:tcPr>
            <w:tcW w:type="dxa" w:w="1881"/>
          </w:tcPr>
          <w:p>
            <w:r>
              <w:rPr>
                <w:rFonts w:ascii="Times New Roman" w:hAnsi="Times New Roman"/>
                <w:sz w:val="20"/>
              </w:rPr>
              <w:t>Gefoerdert</w:t>
            </w:r>
          </w:p>
        </w:tc>
      </w:tr>
      <w:tr>
        <w:tc>
          <w:tcPr>
            <w:tcW w:type="dxa" w:w="1881"/>
          </w:tcPr>
          <w:p>
            <w:r>
              <w:rPr>
                <w:rFonts w:ascii="Times New Roman" w:hAnsi="Times New Roman"/>
                <w:sz w:val="20"/>
              </w:rPr>
              <w:t>Friedrich-Ebert-Stiftung</w:t>
            </w:r>
          </w:p>
        </w:tc>
        <w:tc>
          <w:tcPr>
            <w:tcW w:type="dxa" w:w="1881"/>
          </w:tcPr>
          <w:p>
            <w:r>
              <w:rPr>
                <w:rFonts w:ascii="Times New Roman" w:hAnsi="Times New Roman"/>
                <w:sz w:val="20"/>
              </w:rPr>
              <w:t>SPD</w:t>
            </w:r>
          </w:p>
        </w:tc>
        <w:tc>
          <w:tcPr>
            <w:tcW w:type="dxa" w:w="1881"/>
          </w:tcPr>
          <w:p>
            <w:r>
              <w:rPr>
                <w:rFonts w:ascii="Times New Roman" w:hAnsi="Times New Roman"/>
                <w:sz w:val="20"/>
              </w:rPr>
              <w:t>23,2</w:t>
            </w:r>
          </w:p>
        </w:tc>
        <w:tc>
          <w:tcPr>
            <w:tcW w:type="dxa" w:w="1881"/>
          </w:tcPr>
          <w:p>
            <w:r>
              <w:rPr>
                <w:rFonts w:ascii="Times New Roman" w:hAnsi="Times New Roman"/>
                <w:sz w:val="20"/>
              </w:rPr>
              <w:t>~44,9</w:t>
            </w:r>
          </w:p>
        </w:tc>
        <w:tc>
          <w:tcPr>
            <w:tcW w:type="dxa" w:w="1881"/>
          </w:tcPr>
          <w:p>
            <w:r>
              <w:rPr>
                <w:rFonts w:ascii="Times New Roman" w:hAnsi="Times New Roman"/>
                <w:sz w:val="20"/>
              </w:rPr>
              <w:t>Gefoerdert</w:t>
            </w:r>
          </w:p>
        </w:tc>
      </w:tr>
      <w:tr>
        <w:tc>
          <w:tcPr>
            <w:tcW w:type="dxa" w:w="1881"/>
          </w:tcPr>
          <w:p>
            <w:r>
              <w:rPr>
                <w:rFonts w:ascii="Times New Roman" w:hAnsi="Times New Roman"/>
                <w:sz w:val="20"/>
              </w:rPr>
              <w:t>Heinrich-Boell-Stiftung</w:t>
            </w:r>
          </w:p>
        </w:tc>
        <w:tc>
          <w:tcPr>
            <w:tcW w:type="dxa" w:w="1881"/>
          </w:tcPr>
          <w:p>
            <w:r>
              <w:rPr>
                <w:rFonts w:ascii="Times New Roman" w:hAnsi="Times New Roman"/>
                <w:sz w:val="20"/>
              </w:rPr>
              <w:t>Gruene</w:t>
            </w:r>
          </w:p>
        </w:tc>
        <w:tc>
          <w:tcPr>
            <w:tcW w:type="dxa" w:w="1881"/>
          </w:tcPr>
          <w:p>
            <w:r>
              <w:rPr>
                <w:rFonts w:ascii="Times New Roman" w:hAnsi="Times New Roman"/>
                <w:sz w:val="20"/>
              </w:rPr>
              <w:t>11,9</w:t>
            </w:r>
          </w:p>
        </w:tc>
        <w:tc>
          <w:tcPr>
            <w:tcW w:type="dxa" w:w="1881"/>
          </w:tcPr>
          <w:p>
            <w:r>
              <w:rPr>
                <w:rFonts w:ascii="Times New Roman" w:hAnsi="Times New Roman"/>
                <w:sz w:val="20"/>
              </w:rPr>
              <w:t>~23,1</w:t>
            </w:r>
          </w:p>
        </w:tc>
        <w:tc>
          <w:tcPr>
            <w:tcW w:type="dxa" w:w="1881"/>
          </w:tcPr>
          <w:p>
            <w:r>
              <w:rPr>
                <w:rFonts w:ascii="Times New Roman" w:hAnsi="Times New Roman"/>
                <w:sz w:val="20"/>
              </w:rPr>
              <w:t>Gefoerdert</w:t>
            </w:r>
          </w:p>
        </w:tc>
      </w:tr>
      <w:tr>
        <w:tc>
          <w:tcPr>
            <w:tcW w:type="dxa" w:w="1881"/>
          </w:tcPr>
          <w:p>
            <w:r>
              <w:rPr>
                <w:rFonts w:ascii="Times New Roman" w:hAnsi="Times New Roman"/>
                <w:sz w:val="20"/>
              </w:rPr>
              <w:t>Rosa-Luxemburg-Stiftung</w:t>
            </w:r>
          </w:p>
        </w:tc>
        <w:tc>
          <w:tcPr>
            <w:tcW w:type="dxa" w:w="1881"/>
          </w:tcPr>
          <w:p>
            <w:r>
              <w:rPr>
                <w:rFonts w:ascii="Times New Roman" w:hAnsi="Times New Roman"/>
                <w:sz w:val="20"/>
              </w:rPr>
              <w:t>Die Linke</w:t>
            </w:r>
          </w:p>
        </w:tc>
        <w:tc>
          <w:tcPr>
            <w:tcW w:type="dxa" w:w="1881"/>
          </w:tcPr>
          <w:p>
            <w:r>
              <w:rPr>
                <w:rFonts w:ascii="Times New Roman" w:hAnsi="Times New Roman"/>
                <w:sz w:val="20"/>
              </w:rPr>
              <w:t>8,9</w:t>
            </w:r>
          </w:p>
        </w:tc>
        <w:tc>
          <w:tcPr>
            <w:tcW w:type="dxa" w:w="1881"/>
          </w:tcPr>
          <w:p>
            <w:r>
              <w:rPr>
                <w:rFonts w:ascii="Times New Roman" w:hAnsi="Times New Roman"/>
                <w:sz w:val="20"/>
              </w:rPr>
              <w:t>~17,2</w:t>
            </w:r>
          </w:p>
        </w:tc>
        <w:tc>
          <w:tcPr>
            <w:tcW w:type="dxa" w:w="1881"/>
          </w:tcPr>
          <w:p>
            <w:r>
              <w:rPr>
                <w:rFonts w:ascii="Times New Roman" w:hAnsi="Times New Roman"/>
                <w:sz w:val="20"/>
              </w:rPr>
              <w:t>Gefoerdert</w:t>
            </w:r>
          </w:p>
        </w:tc>
      </w:tr>
      <w:tr>
        <w:tc>
          <w:tcPr>
            <w:tcW w:type="dxa" w:w="1881"/>
          </w:tcPr>
          <w:p>
            <w:r>
              <w:rPr>
                <w:rFonts w:ascii="Times New Roman" w:hAnsi="Times New Roman"/>
                <w:sz w:val="20"/>
              </w:rPr>
              <w:t>Friedrich-Naumann-Stiftung</w:t>
            </w:r>
          </w:p>
        </w:tc>
        <w:tc>
          <w:tcPr>
            <w:tcW w:type="dxa" w:w="1881"/>
          </w:tcPr>
          <w:p>
            <w:r>
              <w:rPr>
                <w:rFonts w:ascii="Times New Roman" w:hAnsi="Times New Roman"/>
                <w:sz w:val="20"/>
              </w:rPr>
              <w:t>FDP</w:t>
            </w:r>
          </w:p>
        </w:tc>
        <w:tc>
          <w:tcPr>
            <w:tcW w:type="dxa" w:w="1881"/>
          </w:tcPr>
          <w:p>
            <w:r>
              <w:rPr>
                <w:rFonts w:ascii="Times New Roman" w:hAnsi="Times New Roman"/>
                <w:sz w:val="20"/>
              </w:rPr>
              <w:t>8,8</w:t>
            </w:r>
          </w:p>
        </w:tc>
        <w:tc>
          <w:tcPr>
            <w:tcW w:type="dxa" w:w="1881"/>
          </w:tcPr>
          <w:p>
            <w:r>
              <w:rPr>
                <w:rFonts w:ascii="Times New Roman" w:hAnsi="Times New Roman"/>
                <w:sz w:val="20"/>
              </w:rPr>
              <w:t>~17,0</w:t>
            </w:r>
          </w:p>
        </w:tc>
        <w:tc>
          <w:tcPr>
            <w:tcW w:type="dxa" w:w="1881"/>
          </w:tcPr>
          <w:p>
            <w:r>
              <w:rPr>
                <w:rFonts w:ascii="Times New Roman" w:hAnsi="Times New Roman"/>
                <w:sz w:val="20"/>
              </w:rPr>
              <w:t>Gefoerdert</w:t>
            </w:r>
          </w:p>
        </w:tc>
      </w:tr>
      <w:tr>
        <w:tc>
          <w:tcPr>
            <w:tcW w:type="dxa" w:w="1881"/>
          </w:tcPr>
          <w:p>
            <w:r>
              <w:rPr>
                <w:rFonts w:ascii="Times New Roman" w:hAnsi="Times New Roman"/>
                <w:sz w:val="20"/>
              </w:rPr>
              <w:t>Hanns-Seidel-Stiftung</w:t>
            </w:r>
          </w:p>
        </w:tc>
        <w:tc>
          <w:tcPr>
            <w:tcW w:type="dxa" w:w="1881"/>
          </w:tcPr>
          <w:p>
            <w:r>
              <w:rPr>
                <w:rFonts w:ascii="Times New Roman" w:hAnsi="Times New Roman"/>
                <w:sz w:val="20"/>
              </w:rPr>
              <w:t>CSU</w:t>
            </w:r>
          </w:p>
        </w:tc>
        <w:tc>
          <w:tcPr>
            <w:tcW w:type="dxa" w:w="1881"/>
          </w:tcPr>
          <w:p>
            <w:r>
              <w:rPr>
                <w:rFonts w:ascii="Times New Roman" w:hAnsi="Times New Roman"/>
                <w:sz w:val="20"/>
              </w:rPr>
              <w:t>7,2</w:t>
            </w:r>
          </w:p>
        </w:tc>
        <w:tc>
          <w:tcPr>
            <w:tcW w:type="dxa" w:w="1881"/>
          </w:tcPr>
          <w:p>
            <w:r>
              <w:rPr>
                <w:rFonts w:ascii="Times New Roman" w:hAnsi="Times New Roman"/>
                <w:sz w:val="20"/>
              </w:rPr>
              <w:t>~14,0</w:t>
            </w:r>
          </w:p>
        </w:tc>
        <w:tc>
          <w:tcPr>
            <w:tcW w:type="dxa" w:w="1881"/>
          </w:tcPr>
          <w:p>
            <w:r>
              <w:rPr>
                <w:rFonts w:ascii="Times New Roman" w:hAnsi="Times New Roman"/>
                <w:sz w:val="20"/>
              </w:rPr>
              <w:t>Gefoerdert</w:t>
            </w:r>
          </w:p>
        </w:tc>
      </w:tr>
      <w:tr>
        <w:tc>
          <w:tcPr>
            <w:tcW w:type="dxa" w:w="1881"/>
          </w:tcPr>
          <w:p>
            <w:r>
              <w:rPr>
                <w:rFonts w:ascii="Times New Roman" w:hAnsi="Times New Roman"/>
                <w:sz w:val="20"/>
              </w:rPr>
              <w:t>Desiderius-Erasmus-Stiftung</w:t>
            </w:r>
          </w:p>
        </w:tc>
        <w:tc>
          <w:tcPr>
            <w:tcW w:type="dxa" w:w="1881"/>
          </w:tcPr>
          <w:p>
            <w:r>
              <w:rPr>
                <w:rFonts w:ascii="Times New Roman" w:hAnsi="Times New Roman"/>
                <w:sz w:val="20"/>
              </w:rPr>
              <w:t>AfD</w:t>
            </w:r>
          </w:p>
        </w:tc>
        <w:tc>
          <w:tcPr>
            <w:tcW w:type="dxa" w:w="1881"/>
          </w:tcPr>
          <w:p>
            <w:r>
              <w:rPr>
                <w:rFonts w:ascii="Times New Roman" w:hAnsi="Times New Roman"/>
                <w:sz w:val="20"/>
              </w:rPr>
              <w:t>13,2*</w:t>
            </w:r>
          </w:p>
        </w:tc>
        <w:tc>
          <w:tcPr>
            <w:tcW w:type="dxa" w:w="1881"/>
          </w:tcPr>
          <w:p>
            <w:r>
              <w:rPr>
                <w:rFonts w:ascii="Times New Roman" w:hAnsi="Times New Roman"/>
                <w:sz w:val="20"/>
              </w:rPr>
              <w:t>0</w:t>
            </w:r>
          </w:p>
        </w:tc>
        <w:tc>
          <w:tcPr>
            <w:tcW w:type="dxa" w:w="1881"/>
          </w:tcPr>
          <w:p>
            <w:r>
              <w:rPr>
                <w:rFonts w:ascii="Times New Roman" w:hAnsi="Times New Roman"/>
                <w:sz w:val="20"/>
              </w:rPr>
              <w:t>Ausgeschlossen</w:t>
            </w:r>
          </w:p>
        </w:tc>
      </w:tr>
    </w:tbl>
    <w:p>
      <w:r>
        <w:rPr>
          <w:rFonts w:ascii="Times New Roman" w:hAnsi="Times New Roman"/>
          <w:i/>
          <w:color w:val="555555"/>
          <w:sz w:val="18"/>
        </w:rPr>
        <w:t>Quelle: Eigene Berechnung nach StiftFinG-Formel auf Basis der amtlichen Wahlergebnisse. * Rechnerischer Anteil bei hypothetischer Aufnahme. [2][3]</w:t>
      </w:r>
    </w:p>
    <w:p>
      <w:pPr>
        <w:pStyle w:val="Heading2"/>
      </w:pPr>
      <w:r>
        <w:rPr>
          <w:rFonts w:ascii="Times New Roman" w:hAnsi="Times New Roman"/>
          <w:color w:val="000000"/>
        </w:rPr>
        <w:t>3.3  Kontrafaktische Berechnung: DES-Anteil</w:t>
      </w:r>
    </w:p>
    <w:p>
      <w:pPr>
        <w:jc w:val="both"/>
      </w:pPr>
      <w:r>
        <w:rPr>
          <w:rFonts w:ascii="Times New Roman" w:hAnsi="Times New Roman"/>
          <w:sz w:val="22"/>
        </w:rPr>
        <w:t>Die zentrale Frage fuer die Transparenz des Systems lautet: Welche Mittel wuerden der DES zustehen, wenn sie foerderfaehig waere? Die folgende Tabelle zeigt drei Szenarien:</w:t>
      </w:r>
    </w:p>
    <w:tbl>
      <w:tblPr>
        <w:tblStyle w:val="TableGrid"/>
        <w:tblW w:type="auto" w:w="0"/>
        <w:jc w:val="center"/>
        <w:tblLook w:firstColumn="1" w:firstRow="1" w:lastColumn="0" w:lastRow="0" w:noHBand="0" w:noVBand="1" w:val="04A0"/>
      </w:tblPr>
      <w:tblGrid>
        <w:gridCol w:w="3135"/>
        <w:gridCol w:w="3135"/>
        <w:gridCol w:w="3135"/>
      </w:tblGrid>
      <w:tr>
        <w:tc>
          <w:tcPr>
            <w:tcW w:type="dxa" w:w="3135"/>
            <w:shd w:fill="E8E8E8" w:val="clear"/>
          </w:tcPr>
          <w:p>
            <w:pPr>
              <w:jc w:val="left"/>
            </w:pPr>
            <w:r>
              <w:rPr>
                <w:rFonts w:ascii="Times New Roman" w:hAnsi="Times New Roman"/>
                <w:b/>
                <w:sz w:val="20"/>
              </w:rPr>
              <w:t>Szenario</w:t>
            </w:r>
          </w:p>
        </w:tc>
        <w:tc>
          <w:tcPr>
            <w:tcW w:type="dxa" w:w="3135"/>
            <w:shd w:fill="E8E8E8" w:val="clear"/>
          </w:tcPr>
          <w:p>
            <w:pPr>
              <w:jc w:val="left"/>
            </w:pPr>
            <w:r>
              <w:rPr>
                <w:rFonts w:ascii="Times New Roman" w:hAnsi="Times New Roman"/>
                <w:b/>
                <w:sz w:val="20"/>
              </w:rPr>
              <w:t>Zeitraum</w:t>
            </w:r>
          </w:p>
        </w:tc>
        <w:tc>
          <w:tcPr>
            <w:tcW w:type="dxa" w:w="3135"/>
            <w:shd w:fill="E8E8E8" w:val="clear"/>
          </w:tcPr>
          <w:p>
            <w:pPr>
              <w:jc w:val="left"/>
            </w:pPr>
            <w:r>
              <w:rPr>
                <w:rFonts w:ascii="Times New Roman" w:hAnsi="Times New Roman"/>
                <w:b/>
                <w:sz w:val="20"/>
              </w:rPr>
              <w:t>Kumulierte entgangene Mittel (geschaetzt)</w:t>
            </w:r>
          </w:p>
        </w:tc>
      </w:tr>
      <w:tr>
        <w:tc>
          <w:tcPr>
            <w:tcW w:type="dxa" w:w="3135"/>
          </w:tcPr>
          <w:p>
            <w:r>
              <w:rPr>
                <w:rFonts w:ascii="Times New Roman" w:hAnsi="Times New Roman"/>
                <w:sz w:val="20"/>
              </w:rPr>
              <w:t>Ab Gruendung DES (2017)</w:t>
            </w:r>
          </w:p>
        </w:tc>
        <w:tc>
          <w:tcPr>
            <w:tcW w:type="dxa" w:w="3135"/>
          </w:tcPr>
          <w:p>
            <w:r>
              <w:rPr>
                <w:rFonts w:ascii="Times New Roman" w:hAnsi="Times New Roman"/>
                <w:sz w:val="20"/>
              </w:rPr>
              <w:t>2017-2026</w:t>
            </w:r>
          </w:p>
        </w:tc>
        <w:tc>
          <w:tcPr>
            <w:tcW w:type="dxa" w:w="3135"/>
          </w:tcPr>
          <w:p>
            <w:r>
              <w:rPr>
                <w:rFonts w:ascii="Times New Roman" w:hAnsi="Times New Roman"/>
                <w:sz w:val="20"/>
              </w:rPr>
              <w:t>ca. 150-180 Mio. Euro</w:t>
            </w:r>
          </w:p>
        </w:tc>
      </w:tr>
      <w:tr>
        <w:tc>
          <w:tcPr>
            <w:tcW w:type="dxa" w:w="3135"/>
          </w:tcPr>
          <w:p>
            <w:r>
              <w:rPr>
                <w:rFonts w:ascii="Times New Roman" w:hAnsi="Times New Roman"/>
                <w:sz w:val="20"/>
              </w:rPr>
              <w:t>Ab erstem Bundestagseinzug AfD (2017)</w:t>
            </w:r>
          </w:p>
        </w:tc>
        <w:tc>
          <w:tcPr>
            <w:tcW w:type="dxa" w:w="3135"/>
          </w:tcPr>
          <w:p>
            <w:r>
              <w:rPr>
                <w:rFonts w:ascii="Times New Roman" w:hAnsi="Times New Roman"/>
                <w:sz w:val="20"/>
              </w:rPr>
              <w:t>2017-2026</w:t>
            </w:r>
          </w:p>
        </w:tc>
        <w:tc>
          <w:tcPr>
            <w:tcW w:type="dxa" w:w="3135"/>
          </w:tcPr>
          <w:p>
            <w:r>
              <w:rPr>
                <w:rFonts w:ascii="Times New Roman" w:hAnsi="Times New Roman"/>
                <w:sz w:val="20"/>
              </w:rPr>
              <w:t>ca. 150-180 Mio. Euro</w:t>
            </w:r>
          </w:p>
        </w:tc>
      </w:tr>
      <w:tr>
        <w:tc>
          <w:tcPr>
            <w:tcW w:type="dxa" w:w="3135"/>
          </w:tcPr>
          <w:p>
            <w:r>
              <w:rPr>
                <w:rFonts w:ascii="Times New Roman" w:hAnsi="Times New Roman"/>
                <w:sz w:val="20"/>
              </w:rPr>
              <w:t>Ab StiftFinG-Logik (2026)</w:t>
            </w:r>
          </w:p>
        </w:tc>
        <w:tc>
          <w:tcPr>
            <w:tcW w:type="dxa" w:w="3135"/>
          </w:tcPr>
          <w:p>
            <w:r>
              <w:rPr>
                <w:rFonts w:ascii="Times New Roman" w:hAnsi="Times New Roman"/>
                <w:sz w:val="20"/>
              </w:rPr>
              <w:t>2026 ff.</w:t>
            </w:r>
          </w:p>
        </w:tc>
        <w:tc>
          <w:tcPr>
            <w:tcW w:type="dxa" w:w="3135"/>
          </w:tcPr>
          <w:p>
            <w:r>
              <w:rPr>
                <w:rFonts w:ascii="Times New Roman" w:hAnsi="Times New Roman"/>
                <w:sz w:val="20"/>
              </w:rPr>
              <w:t>ca. 25,5 Mio. Euro/Jahr</w:t>
            </w:r>
          </w:p>
        </w:tc>
      </w:tr>
    </w:tbl>
    <w:p>
      <w:r>
        <w:rPr>
          <w:rFonts w:ascii="Times New Roman" w:hAnsi="Times New Roman"/>
          <w:i/>
          <w:color w:val="555555"/>
          <w:sz w:val="18"/>
        </w:rPr>
        <w:t>Quelle: Eigene Berechnung. Die Schaetzung fuer 2017-2026 basiert auf den jaehrlichen Globalzuschuessen und einem angenommenen DES-Anteil von 10-13 Prozent (je nach Wahlschnitt-Zeitraum). [4]</w:t>
      </w:r>
    </w:p>
    <w:p>
      <w:pPr>
        <w:jc w:val="both"/>
      </w:pPr>
      <w:r>
        <w:rPr>
          <w:rFonts w:ascii="Times New Roman" w:hAnsi="Times New Roman"/>
          <w:b/>
          <w:sz w:val="22"/>
        </w:rPr>
        <w:t xml:space="preserve">Kritische Einordnung: </w:t>
      </w:r>
      <w:r>
        <w:rPr>
          <w:rFonts w:ascii="Times New Roman" w:hAnsi="Times New Roman"/>
          <w:sz w:val="22"/>
        </w:rPr>
        <w:t>Unabhaengig davon, welches Szenario zugrunde gelegt wird: Die Aufnahme einer siebten Stiftung in den Verteilungsschluessel verringert zwingend die Anteile aller bisherigen sechs Stiftungen. Bei einem DES-Anteil von 13,2 Prozent wuerden die uebrigen Stiftungen entsprechend weniger erhalten. Es besteht folglich ein unmittelbares finanzielles Eigeninteresse der bereits gefoerderten Stiftungen an der Nichtaufnahme der DES. Dieser Interessenkonflikt ist strukturell im System angelegt.</w:t>
      </w:r>
    </w:p>
    <w:p>
      <w:r>
        <w:br w:type="page"/>
      </w:r>
    </w:p>
    <w:p>
      <w:pPr>
        <w:pStyle w:val="Heading1"/>
      </w:pPr>
      <w:r>
        <w:rPr>
          <w:rFonts w:ascii="Times New Roman" w:hAnsi="Times New Roman"/>
          <w:color w:val="000000"/>
        </w:rPr>
        <w:t>4  Die Desiderius-Erasmus-Stiftung</w:t>
      </w:r>
    </w:p>
    <w:p>
      <w:pPr>
        <w:pStyle w:val="Heading2"/>
      </w:pPr>
      <w:r>
        <w:rPr>
          <w:rFonts w:ascii="Times New Roman" w:hAnsi="Times New Roman"/>
          <w:color w:val="000000"/>
        </w:rPr>
        <w:t>4.1  Gruendung und Anerkennung</w:t>
      </w:r>
    </w:p>
    <w:p>
      <w:pPr>
        <w:jc w:val="both"/>
      </w:pPr>
      <w:r>
        <w:rPr>
          <w:rFonts w:ascii="Times New Roman" w:hAnsi="Times New Roman"/>
          <w:sz w:val="22"/>
        </w:rPr>
        <w:t>Die Desiderius-Erasmus-Stiftung (DES) wurde am 15. November 2017 in Luebeck gegruendet und 2018 von der AfD als parteinahe Stiftung anerkannt. Vorsitzende ist Erika Steinbach, ehemalige CDU-Bundestagsabgeordnete (1990-2017), die 2017 aus der CDU austrat. Die DES hat seit ihrer Gruendung keinen einzigen Euro staatlicher Foerderung erhalten.</w:t>
      </w:r>
    </w:p>
    <w:p>
      <w:r>
        <w:rPr>
          <w:rFonts w:ascii="Times New Roman" w:hAnsi="Times New Roman"/>
          <w:i/>
          <w:color w:val="555555"/>
          <w:sz w:val="18"/>
        </w:rPr>
        <w:t>Quelle: Vereinsregister, Amtsgericht Luebeck. erasmus-stiftung.de. [5]</w:t>
      </w:r>
    </w:p>
    <w:p>
      <w:pPr>
        <w:pStyle w:val="Heading2"/>
      </w:pPr>
      <w:r>
        <w:rPr>
          <w:rFonts w:ascii="Times New Roman" w:hAnsi="Times New Roman"/>
          <w:color w:val="000000"/>
        </w:rPr>
        <w:t>4.2  Chronologie der Ausgrenzung</w:t>
      </w:r>
    </w:p>
    <w:p>
      <w:pPr>
        <w:jc w:val="both"/>
      </w:pPr>
      <w:r>
        <w:rPr>
          <w:rFonts w:ascii="Times New Roman" w:hAnsi="Times New Roman"/>
          <w:sz w:val="22"/>
        </w:rPr>
        <w:t>Die folgende Zeitleiste dokumentiert die wesentlichen Stationen:</w:t>
      </w:r>
    </w:p>
    <w:tbl>
      <w:tblPr>
        <w:tblStyle w:val="TableGrid"/>
        <w:tblW w:type="auto" w:w="0"/>
        <w:jc w:val="center"/>
        <w:tblLook w:firstColumn="1" w:firstRow="1" w:lastColumn="0" w:lastRow="0" w:noHBand="0" w:noVBand="1" w:val="04A0"/>
      </w:tblPr>
      <w:tblGrid>
        <w:gridCol w:w="4703"/>
        <w:gridCol w:w="4703"/>
      </w:tblGrid>
      <w:tr>
        <w:tc>
          <w:tcPr>
            <w:tcW w:type="dxa" w:w="4703"/>
            <w:shd w:fill="E8E8E8" w:val="clear"/>
          </w:tcPr>
          <w:p>
            <w:pPr>
              <w:jc w:val="left"/>
            </w:pPr>
            <w:r>
              <w:rPr>
                <w:rFonts w:ascii="Times New Roman" w:hAnsi="Times New Roman"/>
                <w:b/>
                <w:sz w:val="20"/>
              </w:rPr>
              <w:t>Datum</w:t>
            </w:r>
          </w:p>
        </w:tc>
        <w:tc>
          <w:tcPr>
            <w:tcW w:type="dxa" w:w="4703"/>
            <w:shd w:fill="E8E8E8" w:val="clear"/>
          </w:tcPr>
          <w:p>
            <w:pPr>
              <w:jc w:val="left"/>
            </w:pPr>
            <w:r>
              <w:rPr>
                <w:rFonts w:ascii="Times New Roman" w:hAnsi="Times New Roman"/>
                <w:b/>
                <w:sz w:val="20"/>
              </w:rPr>
              <w:t>Ereignis</w:t>
            </w:r>
          </w:p>
        </w:tc>
      </w:tr>
      <w:tr>
        <w:tc>
          <w:tcPr>
            <w:tcW w:type="dxa" w:w="4703"/>
          </w:tcPr>
          <w:p>
            <w:r>
              <w:rPr>
                <w:rFonts w:ascii="Times New Roman" w:hAnsi="Times New Roman"/>
                <w:sz w:val="20"/>
              </w:rPr>
              <w:t>Nov. 2017</w:t>
            </w:r>
          </w:p>
        </w:tc>
        <w:tc>
          <w:tcPr>
            <w:tcW w:type="dxa" w:w="4703"/>
          </w:tcPr>
          <w:p>
            <w:r>
              <w:rPr>
                <w:rFonts w:ascii="Times New Roman" w:hAnsi="Times New Roman"/>
                <w:sz w:val="20"/>
              </w:rPr>
              <w:t>Gruendung der DES in Luebeck</w:t>
            </w:r>
          </w:p>
        </w:tc>
      </w:tr>
      <w:tr>
        <w:tc>
          <w:tcPr>
            <w:tcW w:type="dxa" w:w="4703"/>
          </w:tcPr>
          <w:p>
            <w:r>
              <w:rPr>
                <w:rFonts w:ascii="Times New Roman" w:hAnsi="Times New Roman"/>
                <w:sz w:val="20"/>
              </w:rPr>
              <w:t>2018</w:t>
            </w:r>
          </w:p>
        </w:tc>
        <w:tc>
          <w:tcPr>
            <w:tcW w:type="dxa" w:w="4703"/>
          </w:tcPr>
          <w:p>
            <w:r>
              <w:rPr>
                <w:rFonts w:ascii="Times New Roman" w:hAnsi="Times New Roman"/>
                <w:sz w:val="20"/>
              </w:rPr>
              <w:t>Anerkennung als AfD-nahe Stiftung</w:t>
            </w:r>
          </w:p>
        </w:tc>
      </w:tr>
      <w:tr>
        <w:tc>
          <w:tcPr>
            <w:tcW w:type="dxa" w:w="4703"/>
          </w:tcPr>
          <w:p>
            <w:r>
              <w:rPr>
                <w:rFonts w:ascii="Times New Roman" w:hAnsi="Times New Roman"/>
                <w:sz w:val="20"/>
              </w:rPr>
              <w:t>2019</w:t>
            </w:r>
          </w:p>
        </w:tc>
        <w:tc>
          <w:tcPr>
            <w:tcW w:type="dxa" w:w="4703"/>
          </w:tcPr>
          <w:p>
            <w:r>
              <w:rPr>
                <w:rFonts w:ascii="Times New Roman" w:hAnsi="Times New Roman"/>
                <w:sz w:val="20"/>
              </w:rPr>
              <w:t>DES beantragt Foerderung (1,4 Mio. Euro); Ablehnung durch Haushaltsausschuss</w:t>
            </w:r>
          </w:p>
        </w:tc>
      </w:tr>
      <w:tr>
        <w:tc>
          <w:tcPr>
            <w:tcW w:type="dxa" w:w="4703"/>
          </w:tcPr>
          <w:p>
            <w:r>
              <w:rPr>
                <w:rFonts w:ascii="Times New Roman" w:hAnsi="Times New Roman"/>
                <w:sz w:val="20"/>
              </w:rPr>
              <w:t>Juli 2020</w:t>
            </w:r>
          </w:p>
        </w:tc>
        <w:tc>
          <w:tcPr>
            <w:tcW w:type="dxa" w:w="4703"/>
          </w:tcPr>
          <w:p>
            <w:r>
              <w:rPr>
                <w:rFonts w:ascii="Times New Roman" w:hAnsi="Times New Roman"/>
                <w:sz w:val="20"/>
              </w:rPr>
              <w:t>BVerfG lehnt ersten Eilantrag der AfD ab (formale Gruende)</w:t>
            </w:r>
          </w:p>
        </w:tc>
      </w:tr>
      <w:tr>
        <w:tc>
          <w:tcPr>
            <w:tcW w:type="dxa" w:w="4703"/>
          </w:tcPr>
          <w:p>
            <w:r>
              <w:rPr>
                <w:rFonts w:ascii="Times New Roman" w:hAnsi="Times New Roman"/>
                <w:sz w:val="20"/>
              </w:rPr>
              <w:t>Feb. 2022</w:t>
            </w:r>
          </w:p>
        </w:tc>
        <w:tc>
          <w:tcPr>
            <w:tcW w:type="dxa" w:w="4703"/>
          </w:tcPr>
          <w:p>
            <w:r>
              <w:rPr>
                <w:rFonts w:ascii="Times New Roman" w:hAnsi="Times New Roman"/>
                <w:sz w:val="20"/>
              </w:rPr>
              <w:t>AfD leitet Organstreitverfahren ein (Az. 2 BvE 3/19)</w:t>
            </w:r>
          </w:p>
        </w:tc>
      </w:tr>
      <w:tr>
        <w:tc>
          <w:tcPr>
            <w:tcW w:type="dxa" w:w="4703"/>
          </w:tcPr>
          <w:p>
            <w:r>
              <w:rPr>
                <w:rFonts w:ascii="Times New Roman" w:hAnsi="Times New Roman"/>
                <w:sz w:val="20"/>
              </w:rPr>
              <w:t>Juli 2022</w:t>
            </w:r>
          </w:p>
        </w:tc>
        <w:tc>
          <w:tcPr>
            <w:tcW w:type="dxa" w:w="4703"/>
          </w:tcPr>
          <w:p>
            <w:r>
              <w:rPr>
                <w:rFonts w:ascii="Times New Roman" w:hAnsi="Times New Roman"/>
                <w:sz w:val="20"/>
              </w:rPr>
              <w:t>BVerfG lehnt zweiten Eilantrag ab</w:t>
            </w:r>
          </w:p>
        </w:tc>
      </w:tr>
      <w:tr>
        <w:tc>
          <w:tcPr>
            <w:tcW w:type="dxa" w:w="4703"/>
          </w:tcPr>
          <w:p>
            <w:r>
              <w:rPr>
                <w:rFonts w:ascii="Times New Roman" w:hAnsi="Times New Roman"/>
                <w:sz w:val="20"/>
              </w:rPr>
              <w:t>Okt. 2022</w:t>
            </w:r>
          </w:p>
        </w:tc>
        <w:tc>
          <w:tcPr>
            <w:tcW w:type="dxa" w:w="4703"/>
          </w:tcPr>
          <w:p>
            <w:r>
              <w:rPr>
                <w:rFonts w:ascii="Times New Roman" w:hAnsi="Times New Roman"/>
                <w:sz w:val="20"/>
              </w:rPr>
              <w:t>Muendliche Verhandlung vor dem BVerfG</w:t>
            </w:r>
          </w:p>
        </w:tc>
      </w:tr>
      <w:tr>
        <w:tc>
          <w:tcPr>
            <w:tcW w:type="dxa" w:w="4703"/>
          </w:tcPr>
          <w:p>
            <w:r>
              <w:rPr>
                <w:rFonts w:ascii="Times New Roman" w:hAnsi="Times New Roman"/>
                <w:sz w:val="20"/>
              </w:rPr>
              <w:t>Feb. 2023</w:t>
            </w:r>
          </w:p>
        </w:tc>
        <w:tc>
          <w:tcPr>
            <w:tcW w:type="dxa" w:w="4703"/>
          </w:tcPr>
          <w:p>
            <w:r>
              <w:rPr>
                <w:rFonts w:ascii="Times New Roman" w:hAnsi="Times New Roman"/>
                <w:sz w:val="20"/>
              </w:rPr>
              <w:t>BVerfG-Urteil: Bisherige Praxis verfassungswidrig, aber keine Nachzahlung</w:t>
            </w:r>
          </w:p>
        </w:tc>
      </w:tr>
      <w:tr>
        <w:tc>
          <w:tcPr>
            <w:tcW w:type="dxa" w:w="4703"/>
          </w:tcPr>
          <w:p>
            <w:r>
              <w:rPr>
                <w:rFonts w:ascii="Times New Roman" w:hAnsi="Times New Roman"/>
                <w:sz w:val="20"/>
              </w:rPr>
              <w:t>Herbst 2023</w:t>
            </w:r>
          </w:p>
        </w:tc>
        <w:tc>
          <w:tcPr>
            <w:tcW w:type="dxa" w:w="4703"/>
          </w:tcPr>
          <w:p>
            <w:r>
              <w:rPr>
                <w:rFonts w:ascii="Times New Roman" w:hAnsi="Times New Roman"/>
                <w:sz w:val="20"/>
              </w:rPr>
              <w:t>Bundestag beschliesst StiftFinG mit Stimmen von SPD, CDU/CSU, Gruenen, FDP</w:t>
            </w:r>
          </w:p>
        </w:tc>
      </w:tr>
      <w:tr>
        <w:tc>
          <w:tcPr>
            <w:tcW w:type="dxa" w:w="4703"/>
          </w:tcPr>
          <w:p>
            <w:r>
              <w:rPr>
                <w:rFonts w:ascii="Times New Roman" w:hAnsi="Times New Roman"/>
                <w:sz w:val="20"/>
              </w:rPr>
              <w:t>2024</w:t>
            </w:r>
          </w:p>
        </w:tc>
        <w:tc>
          <w:tcPr>
            <w:tcW w:type="dxa" w:w="4703"/>
          </w:tcPr>
          <w:p>
            <w:r>
              <w:rPr>
                <w:rFonts w:ascii="Times New Roman" w:hAnsi="Times New Roman"/>
                <w:sz w:val="20"/>
              </w:rPr>
              <w:t>StiftFinG in Kraft. DES: 0 Euro (Drei-Legislaturperioden-Regel nicht erfuellt)</w:t>
            </w:r>
          </w:p>
        </w:tc>
      </w:tr>
      <w:tr>
        <w:tc>
          <w:tcPr>
            <w:tcW w:type="dxa" w:w="4703"/>
          </w:tcPr>
          <w:p>
            <w:r>
              <w:rPr>
                <w:rFonts w:ascii="Times New Roman" w:hAnsi="Times New Roman"/>
                <w:sz w:val="20"/>
              </w:rPr>
              <w:t>Feb. 2025</w:t>
            </w:r>
          </w:p>
        </w:tc>
        <w:tc>
          <w:tcPr>
            <w:tcW w:type="dxa" w:w="4703"/>
          </w:tcPr>
          <w:p>
            <w:r>
              <w:rPr>
                <w:rFonts w:ascii="Times New Roman" w:hAnsi="Times New Roman"/>
                <w:sz w:val="20"/>
              </w:rPr>
              <w:t>AfD zieht zum dritten Mal in den Bundestag ein. BVerfG lehnt Nachzahlung ab</w:t>
            </w:r>
          </w:p>
        </w:tc>
      </w:tr>
      <w:tr>
        <w:tc>
          <w:tcPr>
            <w:tcW w:type="dxa" w:w="4703"/>
          </w:tcPr>
          <w:p>
            <w:r>
              <w:rPr>
                <w:rFonts w:ascii="Times New Roman" w:hAnsi="Times New Roman"/>
                <w:sz w:val="20"/>
              </w:rPr>
              <w:t>Maerz 2026</w:t>
            </w:r>
          </w:p>
        </w:tc>
        <w:tc>
          <w:tcPr>
            <w:tcW w:type="dxa" w:w="4703"/>
          </w:tcPr>
          <w:p>
            <w:r>
              <w:rPr>
                <w:rFonts w:ascii="Times New Roman" w:hAnsi="Times New Roman"/>
                <w:sz w:val="20"/>
              </w:rPr>
              <w:t>DES beantragt Foerderung fuer 2026. Pruefung durch BMI laeuft</w:t>
            </w:r>
          </w:p>
        </w:tc>
      </w:tr>
      <w:tr>
        <w:tc>
          <w:tcPr>
            <w:tcW w:type="dxa" w:w="4703"/>
          </w:tcPr>
          <w:p>
            <w:r>
              <w:rPr>
                <w:rFonts w:ascii="Times New Roman" w:hAnsi="Times New Roman"/>
                <w:sz w:val="20"/>
              </w:rPr>
              <w:t>Maerz 2026</w:t>
            </w:r>
          </w:p>
        </w:tc>
        <w:tc>
          <w:tcPr>
            <w:tcW w:type="dxa" w:w="4703"/>
          </w:tcPr>
          <w:p>
            <w:r>
              <w:rPr>
                <w:rFonts w:ascii="Times New Roman" w:hAnsi="Times New Roman"/>
                <w:sz w:val="20"/>
              </w:rPr>
              <w:t>OVG NRW: DES hat keinen Anspruch auf 2021-Mittel</w:t>
            </w:r>
          </w:p>
        </w:tc>
      </w:tr>
    </w:tbl>
    <w:p>
      <w:r>
        <w:rPr>
          <w:rFonts w:ascii="Times New Roman" w:hAnsi="Times New Roman"/>
          <w:i/>
          <w:color w:val="555555"/>
          <w:sz w:val="18"/>
        </w:rPr>
        <w:t>Quelle: BVerfG, 22.02.2023, Az. 2 BvE 3/19; LTO, 19.02.2025; OVG NRW, 10.03.2026. [6][7][8]</w:t>
      </w:r>
    </w:p>
    <w:p>
      <w:pPr>
        <w:pStyle w:val="Heading2"/>
      </w:pPr>
      <w:r>
        <w:rPr>
          <w:rFonts w:ascii="Times New Roman" w:hAnsi="Times New Roman"/>
          <w:color w:val="000000"/>
        </w:rPr>
        <w:t>4.3  Vergleich mit der Rosa-Luxemburg-Stiftung</w:t>
      </w:r>
    </w:p>
    <w:p>
      <w:pPr>
        <w:jc w:val="both"/>
      </w:pPr>
      <w:r>
        <w:rPr>
          <w:rFonts w:ascii="Times New Roman" w:hAnsi="Times New Roman"/>
          <w:sz w:val="22"/>
        </w:rPr>
        <w:t>Ein instruktiver Vergleich ergibt sich mit der Rosa-Luxemburg-Stiftung (RLS), die der Partei Die Linke (vormals PDS) nahesteht:</w:t>
      </w:r>
    </w:p>
    <w:tbl>
      <w:tblPr>
        <w:tblStyle w:val="TableGrid"/>
        <w:tblW w:type="auto" w:w="0"/>
        <w:jc w:val="center"/>
        <w:tblLook w:firstColumn="1" w:firstRow="1" w:lastColumn="0" w:lastRow="0" w:noHBand="0" w:noVBand="1" w:val="04A0"/>
      </w:tblPr>
      <w:tblGrid>
        <w:gridCol w:w="3135"/>
        <w:gridCol w:w="3135"/>
        <w:gridCol w:w="3135"/>
      </w:tblGrid>
      <w:tr>
        <w:tc>
          <w:tcPr>
            <w:tcW w:type="dxa" w:w="3135"/>
            <w:shd w:fill="E8E8E8" w:val="clear"/>
          </w:tcPr>
          <w:p>
            <w:pPr>
              <w:jc w:val="left"/>
            </w:pPr>
            <w:r>
              <w:rPr>
                <w:rFonts w:ascii="Times New Roman" w:hAnsi="Times New Roman"/>
                <w:b/>
                <w:sz w:val="20"/>
              </w:rPr>
              <w:t>Merkmal</w:t>
            </w:r>
          </w:p>
        </w:tc>
        <w:tc>
          <w:tcPr>
            <w:tcW w:type="dxa" w:w="3135"/>
            <w:shd w:fill="E8E8E8" w:val="clear"/>
          </w:tcPr>
          <w:p>
            <w:pPr>
              <w:jc w:val="left"/>
            </w:pPr>
            <w:r>
              <w:rPr>
                <w:rFonts w:ascii="Times New Roman" w:hAnsi="Times New Roman"/>
                <w:b/>
                <w:sz w:val="20"/>
              </w:rPr>
              <w:t>Rosa-Luxemburg-Stiftung</w:t>
            </w:r>
          </w:p>
        </w:tc>
        <w:tc>
          <w:tcPr>
            <w:tcW w:type="dxa" w:w="3135"/>
            <w:shd w:fill="E8E8E8" w:val="clear"/>
          </w:tcPr>
          <w:p>
            <w:pPr>
              <w:jc w:val="left"/>
            </w:pPr>
            <w:r>
              <w:rPr>
                <w:rFonts w:ascii="Times New Roman" w:hAnsi="Times New Roman"/>
                <w:b/>
                <w:sz w:val="20"/>
              </w:rPr>
              <w:t>Desiderius-Erasmus-Stiftung</w:t>
            </w:r>
          </w:p>
        </w:tc>
      </w:tr>
      <w:tr>
        <w:tc>
          <w:tcPr>
            <w:tcW w:type="dxa" w:w="3135"/>
          </w:tcPr>
          <w:p>
            <w:r>
              <w:rPr>
                <w:rFonts w:ascii="Times New Roman" w:hAnsi="Times New Roman"/>
                <w:sz w:val="20"/>
              </w:rPr>
              <w:t>Gruendung</w:t>
            </w:r>
          </w:p>
        </w:tc>
        <w:tc>
          <w:tcPr>
            <w:tcW w:type="dxa" w:w="3135"/>
          </w:tcPr>
          <w:p>
            <w:r>
              <w:rPr>
                <w:rFonts w:ascii="Times New Roman" w:hAnsi="Times New Roman"/>
                <w:sz w:val="20"/>
              </w:rPr>
              <w:t>1990</w:t>
            </w:r>
          </w:p>
        </w:tc>
        <w:tc>
          <w:tcPr>
            <w:tcW w:type="dxa" w:w="3135"/>
          </w:tcPr>
          <w:p>
            <w:r>
              <w:rPr>
                <w:rFonts w:ascii="Times New Roman" w:hAnsi="Times New Roman"/>
                <w:sz w:val="20"/>
              </w:rPr>
              <w:t>2017</w:t>
            </w:r>
          </w:p>
        </w:tc>
      </w:tr>
      <w:tr>
        <w:tc>
          <w:tcPr>
            <w:tcW w:type="dxa" w:w="3135"/>
          </w:tcPr>
          <w:p>
            <w:r>
              <w:rPr>
                <w:rFonts w:ascii="Times New Roman" w:hAnsi="Times New Roman"/>
                <w:sz w:val="20"/>
              </w:rPr>
              <w:t>Parteianerkennung</w:t>
            </w:r>
          </w:p>
        </w:tc>
        <w:tc>
          <w:tcPr>
            <w:tcW w:type="dxa" w:w="3135"/>
          </w:tcPr>
          <w:p>
            <w:r>
              <w:rPr>
                <w:rFonts w:ascii="Times New Roman" w:hAnsi="Times New Roman"/>
                <w:sz w:val="20"/>
              </w:rPr>
              <w:t>1992 (durch PDS)</w:t>
            </w:r>
          </w:p>
        </w:tc>
        <w:tc>
          <w:tcPr>
            <w:tcW w:type="dxa" w:w="3135"/>
          </w:tcPr>
          <w:p>
            <w:r>
              <w:rPr>
                <w:rFonts w:ascii="Times New Roman" w:hAnsi="Times New Roman"/>
                <w:sz w:val="20"/>
              </w:rPr>
              <w:t>2018 (durch AfD)</w:t>
            </w:r>
          </w:p>
        </w:tc>
      </w:tr>
      <w:tr>
        <w:tc>
          <w:tcPr>
            <w:tcW w:type="dxa" w:w="3135"/>
          </w:tcPr>
          <w:p>
            <w:r>
              <w:rPr>
                <w:rFonts w:ascii="Times New Roman" w:hAnsi="Times New Roman"/>
                <w:sz w:val="20"/>
              </w:rPr>
              <w:t>Erste staatliche Foerderung</w:t>
            </w:r>
          </w:p>
        </w:tc>
        <w:tc>
          <w:tcPr>
            <w:tcW w:type="dxa" w:w="3135"/>
          </w:tcPr>
          <w:p>
            <w:r>
              <w:rPr>
                <w:rFonts w:ascii="Times New Roman" w:hAnsi="Times New Roman"/>
                <w:sz w:val="20"/>
              </w:rPr>
              <w:t>1999</w:t>
            </w:r>
          </w:p>
        </w:tc>
        <w:tc>
          <w:tcPr>
            <w:tcW w:type="dxa" w:w="3135"/>
          </w:tcPr>
          <w:p>
            <w:r>
              <w:rPr>
                <w:rFonts w:ascii="Times New Roman" w:hAnsi="Times New Roman"/>
                <w:sz w:val="20"/>
              </w:rPr>
              <w:t>Bislang keine</w:t>
            </w:r>
          </w:p>
        </w:tc>
      </w:tr>
      <w:tr>
        <w:tc>
          <w:tcPr>
            <w:tcW w:type="dxa" w:w="3135"/>
          </w:tcPr>
          <w:p>
            <w:r>
              <w:rPr>
                <w:rFonts w:ascii="Times New Roman" w:hAnsi="Times New Roman"/>
                <w:sz w:val="20"/>
              </w:rPr>
              <w:t>Zeitraum bis Foerderung</w:t>
            </w:r>
          </w:p>
        </w:tc>
        <w:tc>
          <w:tcPr>
            <w:tcW w:type="dxa" w:w="3135"/>
          </w:tcPr>
          <w:p>
            <w:r>
              <w:rPr>
                <w:rFonts w:ascii="Times New Roman" w:hAnsi="Times New Roman"/>
                <w:sz w:val="20"/>
              </w:rPr>
              <w:t>7 Jahre nach Anerkennung</w:t>
            </w:r>
          </w:p>
        </w:tc>
        <w:tc>
          <w:tcPr>
            <w:tcW w:type="dxa" w:w="3135"/>
          </w:tcPr>
          <w:p>
            <w:r>
              <w:rPr>
                <w:rFonts w:ascii="Times New Roman" w:hAnsi="Times New Roman"/>
                <w:sz w:val="20"/>
              </w:rPr>
              <w:t>8+ Jahre (und zaehlt)</w:t>
            </w:r>
          </w:p>
        </w:tc>
      </w:tr>
      <w:tr>
        <w:tc>
          <w:tcPr>
            <w:tcW w:type="dxa" w:w="3135"/>
          </w:tcPr>
          <w:p>
            <w:r>
              <w:rPr>
                <w:rFonts w:ascii="Times New Roman" w:hAnsi="Times New Roman"/>
                <w:sz w:val="20"/>
              </w:rPr>
              <w:t>BfV-Beobachtung der Partei</w:t>
            </w:r>
          </w:p>
        </w:tc>
        <w:tc>
          <w:tcPr>
            <w:tcW w:type="dxa" w:w="3135"/>
          </w:tcPr>
          <w:p>
            <w:r>
              <w:rPr>
                <w:rFonts w:ascii="Times New Roman" w:hAnsi="Times New Roman"/>
                <w:sz w:val="20"/>
              </w:rPr>
              <w:t>PDS wurde zeitweise beobachtet</w:t>
            </w:r>
          </w:p>
        </w:tc>
        <w:tc>
          <w:tcPr>
            <w:tcW w:type="dxa" w:w="3135"/>
          </w:tcPr>
          <w:p>
            <w:r>
              <w:rPr>
                <w:rFonts w:ascii="Times New Roman" w:hAnsi="Times New Roman"/>
                <w:sz w:val="20"/>
              </w:rPr>
              <w:t>AfD als Verdachtsfall</w:t>
            </w:r>
          </w:p>
        </w:tc>
      </w:tr>
      <w:tr>
        <w:tc>
          <w:tcPr>
            <w:tcW w:type="dxa" w:w="3135"/>
          </w:tcPr>
          <w:p>
            <w:r>
              <w:rPr>
                <w:rFonts w:ascii="Times New Roman" w:hAnsi="Times New Roman"/>
                <w:sz w:val="20"/>
              </w:rPr>
              <w:t>Verfassungstreue-Pruefung</w:t>
            </w:r>
          </w:p>
        </w:tc>
        <w:tc>
          <w:tcPr>
            <w:tcW w:type="dxa" w:w="3135"/>
          </w:tcPr>
          <w:p>
            <w:r>
              <w:rPr>
                <w:rFonts w:ascii="Times New Roman" w:hAnsi="Times New Roman"/>
                <w:sz w:val="20"/>
              </w:rPr>
              <w:t>Nicht verlangt (kein StiftFinG)</w:t>
            </w:r>
          </w:p>
        </w:tc>
        <w:tc>
          <w:tcPr>
            <w:tcW w:type="dxa" w:w="3135"/>
          </w:tcPr>
          <w:p>
            <w:r>
              <w:rPr>
                <w:rFonts w:ascii="Times New Roman" w:hAnsi="Times New Roman"/>
                <w:sz w:val="20"/>
              </w:rPr>
              <w:t>Verlangt seit 2024</w:t>
            </w:r>
          </w:p>
        </w:tc>
      </w:tr>
    </w:tbl>
    <w:p>
      <w:r>
        <w:rPr>
          <w:rFonts w:ascii="Times New Roman" w:hAnsi="Times New Roman"/>
          <w:i/>
          <w:color w:val="555555"/>
          <w:sz w:val="18"/>
        </w:rPr>
        <w:t>Quelle: rosalux.de (Selbstdarstellung); Verfassungsblog.de, 2023. [9][10]</w:t>
      </w:r>
    </w:p>
    <w:p>
      <w:pPr>
        <w:jc w:val="both"/>
      </w:pPr>
      <w:r>
        <w:rPr>
          <w:rFonts w:ascii="Times New Roman" w:hAnsi="Times New Roman"/>
          <w:b/>
          <w:sz w:val="22"/>
        </w:rPr>
        <w:t xml:space="preserve">Kritische Einordnung: </w:t>
      </w:r>
      <w:r>
        <w:rPr>
          <w:rFonts w:ascii="Times New Roman" w:hAnsi="Times New Roman"/>
          <w:sz w:val="22"/>
        </w:rPr>
        <w:t>Die PDS/Linke war zum Zeitpunkt der ersten RLS-Foerderung ebenfalls Gegenstand verfassungsschutzrechtlicher Beobachtung in mehreren Bundeslaendern. Eine Verfassungstreue-Pruefung im Sinne des heutigen StiftFinG existierte damals nicht. Das Gesetz wurde erst geschaffen, nachdem die AfD die dritte Legislaturperiode in Reichweite hatte. Ob diese zeitliche Koinzidenz zufaellig ist, muss jeder Leser selbst beurteilen. Die Gesetzesbegruendung nennt die "Dauerhaftigkeit der politischen Grundstroemung" als Motiv fuer die Drei-Legislaturperioden-Regel.</w:t>
      </w:r>
    </w:p>
    <w:p>
      <w:r>
        <w:br w:type="page"/>
      </w:r>
    </w:p>
    <w:p>
      <w:pPr>
        <w:pStyle w:val="Heading1"/>
      </w:pPr>
      <w:r>
        <w:rPr>
          <w:rFonts w:ascii="Times New Roman" w:hAnsi="Times New Roman"/>
          <w:color w:val="000000"/>
        </w:rPr>
        <w:t>5  Verfassungsschutz und politische Steuerung</w:t>
      </w:r>
    </w:p>
    <w:p>
      <w:pPr>
        <w:jc w:val="both"/>
      </w:pPr>
      <w:r>
        <w:rPr>
          <w:rFonts w:ascii="Times New Roman" w:hAnsi="Times New Roman"/>
          <w:sz w:val="22"/>
        </w:rPr>
        <w:t>Die Einstufung durch das Bundesamt fuer Verfassungsschutz (BfV) spielt im StiftFinG eine Schluesselrolle: Paragraph 2 Abs. 5 sieht vor, dass eine BfV-Einstufung als Verdachtsfall oder gesichert extremistische Bestrebung als Indiz gegen die Verfassungstreue gewertet wird. Dies wirft die Frage auf, ob das BfV als unabhaengige Instanz oder als politisch gesteuertes Instrument fungiert.</w:t>
      </w:r>
    </w:p>
    <w:p>
      <w:pPr>
        <w:pStyle w:val="Heading2"/>
      </w:pPr>
      <w:r>
        <w:rPr>
          <w:rFonts w:ascii="Times New Roman" w:hAnsi="Times New Roman"/>
          <w:color w:val="000000"/>
        </w:rPr>
        <w:t>5.1  Strukturelle Abhaengigkeit des BfV</w:t>
      </w:r>
    </w:p>
    <w:p>
      <w:pPr>
        <w:jc w:val="both"/>
      </w:pPr>
      <w:r>
        <w:rPr>
          <w:rFonts w:ascii="Times New Roman" w:hAnsi="Times New Roman"/>
          <w:sz w:val="22"/>
        </w:rPr>
        <w:t>Der Praesident des BfV wird vom Bundesminister des Innern ernannt und unterliegt dessen Fachaufsicht. Das BfV ist keine unabhaengige Justizbehoerde, sondern eine nachgeordnete Behoerde der Exekutive. Die Einstufung einer Partei als Verdachtsfall ist damit keine gerichtliche Feststellung, sondern eine Verwaltungsentscheidung, die unter politischem Einfluss stehen kann.</w:t>
      </w:r>
    </w:p>
    <w:p>
      <w:pPr>
        <w:pStyle w:val="Heading2"/>
      </w:pPr>
      <w:r>
        <w:rPr>
          <w:rFonts w:ascii="Times New Roman" w:hAnsi="Times New Roman"/>
          <w:color w:val="000000"/>
        </w:rPr>
        <w:t>5.2  Der Fall Haldenwang</w:t>
      </w:r>
    </w:p>
    <w:p>
      <w:pPr>
        <w:jc w:val="both"/>
      </w:pPr>
      <w:r>
        <w:rPr>
          <w:rFonts w:ascii="Times New Roman" w:hAnsi="Times New Roman"/>
          <w:sz w:val="22"/>
        </w:rPr>
        <w:t>Thomas Haldenwang uebernahm im November 2018 das Amt des BfV-Praesidenten, nachdem sein Vorgaenger Hans-Georg Maassen nach oeffentlichen Aeusserungen zur Chemnitz-Berichterstattung abgesetzt worden war. Unter Haldenwangs Leitung erfolgte 2021 die Einstufung der AfD als "Verdachtsfall". Im Jahr 2025 kandidierte Haldenwang als CDU-Bundestagskandidat im Wahlkreis Wuppertal.</w:t>
      </w:r>
    </w:p>
    <w:p>
      <w:pPr>
        <w:jc w:val="both"/>
      </w:pPr>
      <w:r>
        <w:rPr>
          <w:rFonts w:ascii="Times New Roman" w:hAnsi="Times New Roman"/>
          <w:b/>
          <w:sz w:val="22"/>
        </w:rPr>
        <w:t xml:space="preserve">Kritische Einordnung: </w:t>
      </w:r>
      <w:r>
        <w:rPr>
          <w:rFonts w:ascii="Times New Roman" w:hAnsi="Times New Roman"/>
          <w:sz w:val="22"/>
        </w:rPr>
        <w:t>Dass der Mann, der die AfD als Verfassungsschutzpraesident zum "Verdachtsfall" erklarte, anschliessend fuer eine konkurrierende Partei kandidierte, stellt die Unabhaengigkeit der vorherigen Amtsfuehrung grundsaetzlich infrage. Selbst wenn die Einstufung fachlich korrekt gewesen sein sollte, ist der Anschein der Befangenheit kaum von der Hand zu weisen.</w:t>
      </w:r>
    </w:p>
    <w:p>
      <w:r>
        <w:rPr>
          <w:rFonts w:ascii="Times New Roman" w:hAnsi="Times New Roman"/>
          <w:i/>
          <w:color w:val="555555"/>
          <w:sz w:val="18"/>
        </w:rPr>
        <w:t>Quelle: Diverse Medienberichte, Nov. 2024/Jan. 2025. [11]</w:t>
      </w:r>
    </w:p>
    <w:p>
      <w:pPr>
        <w:pStyle w:val="Heading2"/>
      </w:pPr>
      <w:r>
        <w:rPr>
          <w:rFonts w:ascii="Times New Roman" w:hAnsi="Times New Roman"/>
          <w:color w:val="000000"/>
        </w:rPr>
        <w:t>5.3  V-Leute-Problematik</w:t>
      </w:r>
    </w:p>
    <w:p>
      <w:pPr>
        <w:jc w:val="both"/>
      </w:pPr>
      <w:r>
        <w:rPr>
          <w:rFonts w:ascii="Times New Roman" w:hAnsi="Times New Roman"/>
          <w:sz w:val="22"/>
        </w:rPr>
        <w:t>Im Zuge des OVG-Verfahrens in Muenster 2024 raeumte das BfV erstmals oeffentlich ein, V-Leute innerhalb der AfD zu fuehren. Die Frage, inwieweit staatlich gefuehrte Vertrauenspersonen zu den Befunden beitragen, die dann als Beleg fuer die Verfassungsfeindlichkeit der Partei herangezogen werden, ist verfassungsrechtlich hoch problematisch und war bereits im NPD-Verbotsverfahren 2003 ein zentraler Grund fuer das Scheitern des Verfahrens.</w:t>
      </w:r>
    </w:p>
    <w:p>
      <w:r>
        <w:rPr>
          <w:rFonts w:ascii="Times New Roman" w:hAnsi="Times New Roman"/>
          <w:i/>
          <w:color w:val="555555"/>
          <w:sz w:val="18"/>
        </w:rPr>
        <w:t>Quelle: OVG Muenster, Verhandlungsprotokolle 2024; BVerfG, 18.03.2003, Az. 2 BvB 1/01. [12]</w:t>
      </w:r>
    </w:p>
    <w:p>
      <w:pPr>
        <w:pStyle w:val="Heading2"/>
      </w:pPr>
      <w:r>
        <w:rPr>
          <w:rFonts w:ascii="Times New Roman" w:hAnsi="Times New Roman"/>
          <w:color w:val="000000"/>
        </w:rPr>
        <w:t>5.4  Gerichtliche Korrekturen</w:t>
      </w:r>
    </w:p>
    <w:p>
      <w:pPr>
        <w:jc w:val="both"/>
      </w:pPr>
      <w:r>
        <w:rPr>
          <w:rFonts w:ascii="Times New Roman" w:hAnsi="Times New Roman"/>
          <w:sz w:val="22"/>
        </w:rPr>
        <w:t>Gerichte haben die BfV-Einstufungen mehrfach korrigiert oder eingeschraenkt:</w:t>
      </w:r>
    </w:p>
    <w:tbl>
      <w:tblPr>
        <w:tblStyle w:val="TableGrid"/>
        <w:tblW w:type="auto" w:w="0"/>
        <w:jc w:val="center"/>
        <w:tblLook w:firstColumn="1" w:firstRow="1" w:lastColumn="0" w:lastRow="0" w:noHBand="0" w:noVBand="1" w:val="04A0"/>
      </w:tblPr>
      <w:tblGrid>
        <w:gridCol w:w="3135"/>
        <w:gridCol w:w="3135"/>
        <w:gridCol w:w="3135"/>
      </w:tblGrid>
      <w:tr>
        <w:tc>
          <w:tcPr>
            <w:tcW w:type="dxa" w:w="3135"/>
            <w:shd w:fill="E8E8E8" w:val="clear"/>
          </w:tcPr>
          <w:p>
            <w:pPr>
              <w:jc w:val="left"/>
            </w:pPr>
            <w:r>
              <w:rPr>
                <w:rFonts w:ascii="Times New Roman" w:hAnsi="Times New Roman"/>
                <w:b/>
                <w:sz w:val="20"/>
              </w:rPr>
              <w:t>Gericht/Datum</w:t>
            </w:r>
          </w:p>
        </w:tc>
        <w:tc>
          <w:tcPr>
            <w:tcW w:type="dxa" w:w="3135"/>
            <w:shd w:fill="E8E8E8" w:val="clear"/>
          </w:tcPr>
          <w:p>
            <w:pPr>
              <w:jc w:val="left"/>
            </w:pPr>
            <w:r>
              <w:rPr>
                <w:rFonts w:ascii="Times New Roman" w:hAnsi="Times New Roman"/>
                <w:b/>
                <w:sz w:val="20"/>
              </w:rPr>
              <w:t>Gegenstand</w:t>
            </w:r>
          </w:p>
        </w:tc>
        <w:tc>
          <w:tcPr>
            <w:tcW w:type="dxa" w:w="3135"/>
            <w:shd w:fill="E8E8E8" w:val="clear"/>
          </w:tcPr>
          <w:p>
            <w:pPr>
              <w:jc w:val="left"/>
            </w:pPr>
            <w:r>
              <w:rPr>
                <w:rFonts w:ascii="Times New Roman" w:hAnsi="Times New Roman"/>
                <w:b/>
                <w:sz w:val="20"/>
              </w:rPr>
              <w:t>Ergebnis</w:t>
            </w:r>
          </w:p>
        </w:tc>
      </w:tr>
      <w:tr>
        <w:tc>
          <w:tcPr>
            <w:tcW w:type="dxa" w:w="3135"/>
          </w:tcPr>
          <w:p>
            <w:r>
              <w:rPr>
                <w:rFonts w:ascii="Times New Roman" w:hAnsi="Times New Roman"/>
                <w:sz w:val="20"/>
              </w:rPr>
              <w:t>VG Koeln, 2019</w:t>
            </w:r>
          </w:p>
        </w:tc>
        <w:tc>
          <w:tcPr>
            <w:tcW w:type="dxa" w:w="3135"/>
          </w:tcPr>
          <w:p>
            <w:r>
              <w:rPr>
                <w:rFonts w:ascii="Times New Roman" w:hAnsi="Times New Roman"/>
                <w:sz w:val="20"/>
              </w:rPr>
              <w:t>Einstufung als "Prueffall"</w:t>
            </w:r>
          </w:p>
        </w:tc>
        <w:tc>
          <w:tcPr>
            <w:tcW w:type="dxa" w:w="3135"/>
          </w:tcPr>
          <w:p>
            <w:r>
              <w:rPr>
                <w:rFonts w:ascii="Times New Roman" w:hAnsi="Times New Roman"/>
                <w:sz w:val="20"/>
              </w:rPr>
              <w:t>Rechtswidrig (Bezeichnung unzulaessig)</w:t>
            </w:r>
          </w:p>
        </w:tc>
      </w:tr>
      <w:tr>
        <w:tc>
          <w:tcPr>
            <w:tcW w:type="dxa" w:w="3135"/>
          </w:tcPr>
          <w:p>
            <w:r>
              <w:rPr>
                <w:rFonts w:ascii="Times New Roman" w:hAnsi="Times New Roman"/>
                <w:sz w:val="20"/>
              </w:rPr>
              <w:t>VG Koeln, 2022</w:t>
            </w:r>
          </w:p>
        </w:tc>
        <w:tc>
          <w:tcPr>
            <w:tcW w:type="dxa" w:w="3135"/>
          </w:tcPr>
          <w:p>
            <w:r>
              <w:rPr>
                <w:rFonts w:ascii="Times New Roman" w:hAnsi="Times New Roman"/>
                <w:sz w:val="20"/>
              </w:rPr>
              <w:t>Verdachtsfall-Einstufung</w:t>
            </w:r>
          </w:p>
        </w:tc>
        <w:tc>
          <w:tcPr>
            <w:tcW w:type="dxa" w:w="3135"/>
          </w:tcPr>
          <w:p>
            <w:r>
              <w:rPr>
                <w:rFonts w:ascii="Times New Roman" w:hAnsi="Times New Roman"/>
                <w:sz w:val="20"/>
              </w:rPr>
              <w:t>Rechtmaessig</w:t>
            </w:r>
          </w:p>
        </w:tc>
      </w:tr>
      <w:tr>
        <w:tc>
          <w:tcPr>
            <w:tcW w:type="dxa" w:w="3135"/>
          </w:tcPr>
          <w:p>
            <w:r>
              <w:rPr>
                <w:rFonts w:ascii="Times New Roman" w:hAnsi="Times New Roman"/>
                <w:sz w:val="20"/>
              </w:rPr>
              <w:t>OVG Muenster, 2024</w:t>
            </w:r>
          </w:p>
        </w:tc>
        <w:tc>
          <w:tcPr>
            <w:tcW w:type="dxa" w:w="3135"/>
          </w:tcPr>
          <w:p>
            <w:r>
              <w:rPr>
                <w:rFonts w:ascii="Times New Roman" w:hAnsi="Times New Roman"/>
                <w:sz w:val="20"/>
              </w:rPr>
              <w:t>Beobachtung der Gesamtpartei</w:t>
            </w:r>
          </w:p>
        </w:tc>
        <w:tc>
          <w:tcPr>
            <w:tcW w:type="dxa" w:w="3135"/>
          </w:tcPr>
          <w:p>
            <w:r>
              <w:rPr>
                <w:rFonts w:ascii="Times New Roman" w:hAnsi="Times New Roman"/>
                <w:sz w:val="20"/>
              </w:rPr>
              <w:t>Bestaetigt</w:t>
            </w:r>
          </w:p>
        </w:tc>
      </w:tr>
      <w:tr>
        <w:tc>
          <w:tcPr>
            <w:tcW w:type="dxa" w:w="3135"/>
          </w:tcPr>
          <w:p>
            <w:r>
              <w:rPr>
                <w:rFonts w:ascii="Times New Roman" w:hAnsi="Times New Roman"/>
                <w:sz w:val="20"/>
              </w:rPr>
              <w:t>VG Koeln, 2026</w:t>
            </w:r>
          </w:p>
        </w:tc>
        <w:tc>
          <w:tcPr>
            <w:tcW w:type="dxa" w:w="3135"/>
          </w:tcPr>
          <w:p>
            <w:r>
              <w:rPr>
                <w:rFonts w:ascii="Times New Roman" w:hAnsi="Times New Roman"/>
                <w:sz w:val="20"/>
              </w:rPr>
              <w:t>Hochstufung zu "gesichert rechtsextremistisch"</w:t>
            </w:r>
          </w:p>
        </w:tc>
        <w:tc>
          <w:tcPr>
            <w:tcW w:type="dxa" w:w="3135"/>
          </w:tcPr>
          <w:p>
            <w:r>
              <w:rPr>
                <w:rFonts w:ascii="Times New Roman" w:hAnsi="Times New Roman"/>
                <w:sz w:val="20"/>
              </w:rPr>
              <w:t>Gestoppt (einstweilige Anordnung)</w:t>
            </w:r>
          </w:p>
        </w:tc>
      </w:tr>
    </w:tbl>
    <w:p>
      <w:r>
        <w:rPr>
          <w:rFonts w:ascii="Times New Roman" w:hAnsi="Times New Roman"/>
          <w:i/>
          <w:color w:val="555555"/>
          <w:sz w:val="18"/>
        </w:rPr>
        <w:t>Quelle: VG Koeln, Az. 13 L 202/19; OVG Muenster, Az. 16 A 1382/22; VG Koeln, 2026. [13][14][15]</w:t>
      </w:r>
    </w:p>
    <w:p>
      <w:pPr>
        <w:jc w:val="both"/>
      </w:pPr>
      <w:r>
        <w:rPr>
          <w:rFonts w:ascii="Times New Roman" w:hAnsi="Times New Roman"/>
          <w:b/>
          <w:sz w:val="22"/>
        </w:rPr>
        <w:t xml:space="preserve">Kritische Einordnung: </w:t>
      </w:r>
      <w:r>
        <w:rPr>
          <w:rFonts w:ascii="Times New Roman" w:hAnsi="Times New Roman"/>
          <w:sz w:val="22"/>
        </w:rPr>
        <w:t>Die gerichtlichen Korrekturen zeigen, dass die BfV-Einstufungen keineswegs unfehlbar sind. Insbesondere die 2019 als rechtswidrig erklaerte "Prueffall"-Bezeichnung war monatelang oeffentlichkeitswirksam im Umlauf, bevor sie gerichtlich kassiert wurde. Die 2026 gestoppte Hochstufung deutet darauf hin, dass das BfV auch aktuell an den Grenzen seiner rechtlichen Befugnisse operiert.</w:t>
      </w:r>
    </w:p>
    <w:p>
      <w:r>
        <w:br w:type="page"/>
      </w:r>
    </w:p>
    <w:p>
      <w:pPr>
        <w:pStyle w:val="Heading1"/>
      </w:pPr>
      <w:r>
        <w:rPr>
          <w:rFonts w:ascii="Times New Roman" w:hAnsi="Times New Roman"/>
          <w:color w:val="000000"/>
        </w:rPr>
        <w:t>6  Medienlandschaft und Berichterstattung</w:t>
      </w:r>
    </w:p>
    <w:p>
      <w:pPr>
        <w:pStyle w:val="Heading2"/>
      </w:pPr>
      <w:r>
        <w:rPr>
          <w:rFonts w:ascii="Times New Roman" w:hAnsi="Times New Roman"/>
          <w:color w:val="000000"/>
        </w:rPr>
        <w:t>6.1  Parteipraeferenz von Journalisten</w:t>
      </w:r>
    </w:p>
    <w:p>
      <w:pPr>
        <w:jc w:val="both"/>
      </w:pPr>
      <w:r>
        <w:rPr>
          <w:rFonts w:ascii="Times New Roman" w:hAnsi="Times New Roman"/>
          <w:sz w:val="22"/>
        </w:rPr>
        <w:t>Eine Studie der Technischen Universitaet Dortmund aus dem Jahr 2024 untersuchte die politischen Praeferenzen deutscher Journalistinnen und Journalisten. Die Ergebnisse zeigen eine erhebliche Diskrepanz zwischen der Parteipraeferenz in Redaktionen und dem Wahlverhalten der Gesamtbevoelkerung:</w:t>
      </w:r>
    </w:p>
    <w:tbl>
      <w:tblPr>
        <w:tblStyle w:val="TableGrid"/>
        <w:tblW w:type="auto" w:w="0"/>
        <w:jc w:val="center"/>
        <w:tblLook w:firstColumn="1" w:firstRow="1" w:lastColumn="0" w:lastRow="0" w:noHBand="0" w:noVBand="1" w:val="04A0"/>
      </w:tblPr>
      <w:tblGrid>
        <w:gridCol w:w="2351"/>
        <w:gridCol w:w="2351"/>
        <w:gridCol w:w="2351"/>
        <w:gridCol w:w="2351"/>
      </w:tblGrid>
      <w:tr>
        <w:tc>
          <w:tcPr>
            <w:tcW w:type="dxa" w:w="2351"/>
            <w:shd w:fill="E8E8E8" w:val="clear"/>
          </w:tcPr>
          <w:p>
            <w:pPr>
              <w:jc w:val="left"/>
            </w:pPr>
            <w:r>
              <w:rPr>
                <w:rFonts w:ascii="Times New Roman" w:hAnsi="Times New Roman"/>
                <w:b/>
                <w:sz w:val="20"/>
              </w:rPr>
              <w:t>Partei</w:t>
            </w:r>
          </w:p>
        </w:tc>
        <w:tc>
          <w:tcPr>
            <w:tcW w:type="dxa" w:w="2351"/>
            <w:shd w:fill="E8E8E8" w:val="clear"/>
          </w:tcPr>
          <w:p>
            <w:pPr>
              <w:jc w:val="left"/>
            </w:pPr>
            <w:r>
              <w:rPr>
                <w:rFonts w:ascii="Times New Roman" w:hAnsi="Times New Roman"/>
                <w:b/>
                <w:sz w:val="20"/>
              </w:rPr>
              <w:t>Journalisten (%)</w:t>
            </w:r>
          </w:p>
        </w:tc>
        <w:tc>
          <w:tcPr>
            <w:tcW w:type="dxa" w:w="2351"/>
            <w:shd w:fill="E8E8E8" w:val="clear"/>
          </w:tcPr>
          <w:p>
            <w:pPr>
              <w:jc w:val="left"/>
            </w:pPr>
            <w:r>
              <w:rPr>
                <w:rFonts w:ascii="Times New Roman" w:hAnsi="Times New Roman"/>
                <w:b/>
                <w:sz w:val="20"/>
              </w:rPr>
              <w:t>Waehler BTW 2025 (%)</w:t>
            </w:r>
          </w:p>
        </w:tc>
        <w:tc>
          <w:tcPr>
            <w:tcW w:type="dxa" w:w="2351"/>
            <w:shd w:fill="E8E8E8" w:val="clear"/>
          </w:tcPr>
          <w:p>
            <w:pPr>
              <w:jc w:val="left"/>
            </w:pPr>
            <w:r>
              <w:rPr>
                <w:rFonts w:ascii="Times New Roman" w:hAnsi="Times New Roman"/>
                <w:b/>
                <w:sz w:val="20"/>
              </w:rPr>
              <w:t>Differenz (Prozentpunkte)</w:t>
            </w:r>
          </w:p>
        </w:tc>
      </w:tr>
      <w:tr>
        <w:tc>
          <w:tcPr>
            <w:tcW w:type="dxa" w:w="2351"/>
          </w:tcPr>
          <w:p>
            <w:r>
              <w:rPr>
                <w:rFonts w:ascii="Times New Roman" w:hAnsi="Times New Roman"/>
                <w:sz w:val="20"/>
              </w:rPr>
              <w:t>Buendnis 90/Die Gruenen</w:t>
            </w:r>
          </w:p>
        </w:tc>
        <w:tc>
          <w:tcPr>
            <w:tcW w:type="dxa" w:w="2351"/>
          </w:tcPr>
          <w:p>
            <w:r>
              <w:rPr>
                <w:rFonts w:ascii="Times New Roman" w:hAnsi="Times New Roman"/>
                <w:sz w:val="20"/>
              </w:rPr>
              <w:t>41,0</w:t>
            </w:r>
          </w:p>
        </w:tc>
        <w:tc>
          <w:tcPr>
            <w:tcW w:type="dxa" w:w="2351"/>
          </w:tcPr>
          <w:p>
            <w:r>
              <w:rPr>
                <w:rFonts w:ascii="Times New Roman" w:hAnsi="Times New Roman"/>
                <w:sz w:val="20"/>
              </w:rPr>
              <w:t>11,6</w:t>
            </w:r>
          </w:p>
        </w:tc>
        <w:tc>
          <w:tcPr>
            <w:tcW w:type="dxa" w:w="2351"/>
          </w:tcPr>
          <w:p>
            <w:r>
              <w:rPr>
                <w:rFonts w:ascii="Times New Roman" w:hAnsi="Times New Roman"/>
                <w:sz w:val="20"/>
              </w:rPr>
              <w:t>+29,4</w:t>
            </w:r>
          </w:p>
        </w:tc>
      </w:tr>
      <w:tr>
        <w:tc>
          <w:tcPr>
            <w:tcW w:type="dxa" w:w="2351"/>
          </w:tcPr>
          <w:p>
            <w:r>
              <w:rPr>
                <w:rFonts w:ascii="Times New Roman" w:hAnsi="Times New Roman"/>
                <w:sz w:val="20"/>
              </w:rPr>
              <w:t>SPD</w:t>
            </w:r>
          </w:p>
        </w:tc>
        <w:tc>
          <w:tcPr>
            <w:tcW w:type="dxa" w:w="2351"/>
          </w:tcPr>
          <w:p>
            <w:r>
              <w:rPr>
                <w:rFonts w:ascii="Times New Roman" w:hAnsi="Times New Roman"/>
                <w:sz w:val="20"/>
              </w:rPr>
              <w:t>16,0</w:t>
            </w:r>
          </w:p>
        </w:tc>
        <w:tc>
          <w:tcPr>
            <w:tcW w:type="dxa" w:w="2351"/>
          </w:tcPr>
          <w:p>
            <w:r>
              <w:rPr>
                <w:rFonts w:ascii="Times New Roman" w:hAnsi="Times New Roman"/>
                <w:sz w:val="20"/>
              </w:rPr>
              <w:t>16,4</w:t>
            </w:r>
          </w:p>
        </w:tc>
        <w:tc>
          <w:tcPr>
            <w:tcW w:type="dxa" w:w="2351"/>
          </w:tcPr>
          <w:p>
            <w:r>
              <w:rPr>
                <w:rFonts w:ascii="Times New Roman" w:hAnsi="Times New Roman"/>
                <w:sz w:val="20"/>
              </w:rPr>
              <w:t>-0,4</w:t>
            </w:r>
          </w:p>
        </w:tc>
      </w:tr>
      <w:tr>
        <w:tc>
          <w:tcPr>
            <w:tcW w:type="dxa" w:w="2351"/>
          </w:tcPr>
          <w:p>
            <w:r>
              <w:rPr>
                <w:rFonts w:ascii="Times New Roman" w:hAnsi="Times New Roman"/>
                <w:sz w:val="20"/>
              </w:rPr>
              <w:t>CDU/CSU</w:t>
            </w:r>
          </w:p>
        </w:tc>
        <w:tc>
          <w:tcPr>
            <w:tcW w:type="dxa" w:w="2351"/>
          </w:tcPr>
          <w:p>
            <w:r>
              <w:rPr>
                <w:rFonts w:ascii="Times New Roman" w:hAnsi="Times New Roman"/>
                <w:sz w:val="20"/>
              </w:rPr>
              <w:t>8,0</w:t>
            </w:r>
          </w:p>
        </w:tc>
        <w:tc>
          <w:tcPr>
            <w:tcW w:type="dxa" w:w="2351"/>
          </w:tcPr>
          <w:p>
            <w:r>
              <w:rPr>
                <w:rFonts w:ascii="Times New Roman" w:hAnsi="Times New Roman"/>
                <w:sz w:val="20"/>
              </w:rPr>
              <w:t>28,5</w:t>
            </w:r>
          </w:p>
        </w:tc>
        <w:tc>
          <w:tcPr>
            <w:tcW w:type="dxa" w:w="2351"/>
          </w:tcPr>
          <w:p>
            <w:r>
              <w:rPr>
                <w:rFonts w:ascii="Times New Roman" w:hAnsi="Times New Roman"/>
                <w:sz w:val="20"/>
              </w:rPr>
              <w:t>-20,5</w:t>
            </w:r>
          </w:p>
        </w:tc>
      </w:tr>
      <w:tr>
        <w:tc>
          <w:tcPr>
            <w:tcW w:type="dxa" w:w="2351"/>
          </w:tcPr>
          <w:p>
            <w:r>
              <w:rPr>
                <w:rFonts w:ascii="Times New Roman" w:hAnsi="Times New Roman"/>
                <w:sz w:val="20"/>
              </w:rPr>
              <w:t>Die Linke</w:t>
            </w:r>
          </w:p>
        </w:tc>
        <w:tc>
          <w:tcPr>
            <w:tcW w:type="dxa" w:w="2351"/>
          </w:tcPr>
          <w:p>
            <w:r>
              <w:rPr>
                <w:rFonts w:ascii="Times New Roman" w:hAnsi="Times New Roman"/>
                <w:sz w:val="20"/>
              </w:rPr>
              <w:t>6,0</w:t>
            </w:r>
          </w:p>
        </w:tc>
        <w:tc>
          <w:tcPr>
            <w:tcW w:type="dxa" w:w="2351"/>
          </w:tcPr>
          <w:p>
            <w:r>
              <w:rPr>
                <w:rFonts w:ascii="Times New Roman" w:hAnsi="Times New Roman"/>
                <w:sz w:val="20"/>
              </w:rPr>
              <w:t>8,8</w:t>
            </w:r>
          </w:p>
        </w:tc>
        <w:tc>
          <w:tcPr>
            <w:tcW w:type="dxa" w:w="2351"/>
          </w:tcPr>
          <w:p>
            <w:r>
              <w:rPr>
                <w:rFonts w:ascii="Times New Roman" w:hAnsi="Times New Roman"/>
                <w:sz w:val="20"/>
              </w:rPr>
              <w:t>-2,8</w:t>
            </w:r>
          </w:p>
        </w:tc>
      </w:tr>
      <w:tr>
        <w:tc>
          <w:tcPr>
            <w:tcW w:type="dxa" w:w="2351"/>
          </w:tcPr>
          <w:p>
            <w:r>
              <w:rPr>
                <w:rFonts w:ascii="Times New Roman" w:hAnsi="Times New Roman"/>
                <w:sz w:val="20"/>
              </w:rPr>
              <w:t>FDP</w:t>
            </w:r>
          </w:p>
        </w:tc>
        <w:tc>
          <w:tcPr>
            <w:tcW w:type="dxa" w:w="2351"/>
          </w:tcPr>
          <w:p>
            <w:r>
              <w:rPr>
                <w:rFonts w:ascii="Times New Roman" w:hAnsi="Times New Roman"/>
                <w:sz w:val="20"/>
              </w:rPr>
              <w:t>3,0</w:t>
            </w:r>
          </w:p>
        </w:tc>
        <w:tc>
          <w:tcPr>
            <w:tcW w:type="dxa" w:w="2351"/>
          </w:tcPr>
          <w:p>
            <w:r>
              <w:rPr>
                <w:rFonts w:ascii="Times New Roman" w:hAnsi="Times New Roman"/>
                <w:sz w:val="20"/>
              </w:rPr>
              <w:t>4,3</w:t>
            </w:r>
          </w:p>
        </w:tc>
        <w:tc>
          <w:tcPr>
            <w:tcW w:type="dxa" w:w="2351"/>
          </w:tcPr>
          <w:p>
            <w:r>
              <w:rPr>
                <w:rFonts w:ascii="Times New Roman" w:hAnsi="Times New Roman"/>
                <w:sz w:val="20"/>
              </w:rPr>
              <w:t>-1,3</w:t>
            </w:r>
          </w:p>
        </w:tc>
      </w:tr>
      <w:tr>
        <w:tc>
          <w:tcPr>
            <w:tcW w:type="dxa" w:w="2351"/>
          </w:tcPr>
          <w:p>
            <w:r>
              <w:rPr>
                <w:rFonts w:ascii="Times New Roman" w:hAnsi="Times New Roman"/>
                <w:sz w:val="20"/>
              </w:rPr>
              <w:t>AfD</w:t>
            </w:r>
          </w:p>
        </w:tc>
        <w:tc>
          <w:tcPr>
            <w:tcW w:type="dxa" w:w="2351"/>
          </w:tcPr>
          <w:p>
            <w:r>
              <w:rPr>
                <w:rFonts w:ascii="Times New Roman" w:hAnsi="Times New Roman"/>
                <w:sz w:val="20"/>
              </w:rPr>
              <w:t>0,0</w:t>
            </w:r>
          </w:p>
        </w:tc>
        <w:tc>
          <w:tcPr>
            <w:tcW w:type="dxa" w:w="2351"/>
          </w:tcPr>
          <w:p>
            <w:r>
              <w:rPr>
                <w:rFonts w:ascii="Times New Roman" w:hAnsi="Times New Roman"/>
                <w:sz w:val="20"/>
              </w:rPr>
              <w:t>20,8</w:t>
            </w:r>
          </w:p>
        </w:tc>
        <w:tc>
          <w:tcPr>
            <w:tcW w:type="dxa" w:w="2351"/>
          </w:tcPr>
          <w:p>
            <w:r>
              <w:rPr>
                <w:rFonts w:ascii="Times New Roman" w:hAnsi="Times New Roman"/>
                <w:sz w:val="20"/>
              </w:rPr>
              <w:t>-20,8</w:t>
            </w:r>
          </w:p>
        </w:tc>
      </w:tr>
    </w:tbl>
    <w:p>
      <w:r>
        <w:rPr>
          <w:rFonts w:ascii="Times New Roman" w:hAnsi="Times New Roman"/>
          <w:i/>
          <w:color w:val="555555"/>
          <w:sz w:val="18"/>
        </w:rPr>
        <w:t>Quelle: TU Dortmund, Institut fuer Journalistik (2024): Repraesentativbefragung unter deutschen Journalisten. Wahlwerte: Bundeswahlleiterin, BTW 2025. [16][2]</w:t>
      </w:r>
    </w:p>
    <w:p>
      <w:pPr>
        <w:pStyle w:val="Heading2"/>
      </w:pPr>
      <w:r>
        <w:rPr>
          <w:rFonts w:ascii="Times New Roman" w:hAnsi="Times New Roman"/>
          <w:color w:val="000000"/>
        </w:rPr>
        <w:t>6.2  Strukturelle Asymmetrie</w:t>
      </w:r>
    </w:p>
    <w:p>
      <w:pPr>
        <w:jc w:val="both"/>
      </w:pPr>
      <w:r>
        <w:rPr>
          <w:rFonts w:ascii="Times New Roman" w:hAnsi="Times New Roman"/>
          <w:sz w:val="22"/>
        </w:rPr>
        <w:t>Die Daten zeigen eine dreifache Asymmetrie: Erstens sind die Gruenen unter Journalisten um den Faktor 3,5 ueberrepraesentiert. Zweitens ist die AfD, die 20,8 Prozent der Waehler repraesentiert, unter Journalisten mit null Prozent vertreten. Drittens sind CDU/CSU mit 28,5 Prozent Waehleranteil unter Journalisten mit nur 8 Prozent vertreten.</w:t>
      </w:r>
    </w:p>
    <w:p>
      <w:pPr>
        <w:jc w:val="both"/>
      </w:pPr>
      <w:r>
        <w:rPr>
          <w:rFonts w:ascii="Times New Roman" w:hAnsi="Times New Roman"/>
          <w:b/>
          <w:sz w:val="22"/>
        </w:rPr>
        <w:t xml:space="preserve">Kritische Einordnung: </w:t>
      </w:r>
      <w:r>
        <w:rPr>
          <w:rFonts w:ascii="Times New Roman" w:hAnsi="Times New Roman"/>
          <w:sz w:val="22"/>
        </w:rPr>
        <w:t>Diese Zahlen bedeuten nicht automatisch, dass die Berichterstattung verzerrt ist. Zwischen persoenlicher Parteipraeferenz und journalistischer Arbeit besteht ein Unterschied. Jedoch ist die strukturelle Abwesenheit jeglicher AfD-Sympathie in deutschen Redaktionen ein Faktum, das bei der Bewertung der Medienberichterstattung ueber die AfD und ihre Stiftung beruecksichtigt werden sollte. Ein vergleichbares Fehlen einer 20-Prozent-Partei in Redaktionen waere in anderen westlichen Demokratien Gegenstand oeffentlicher Debatte.</w:t>
      </w:r>
    </w:p>
    <w:p>
      <w:r>
        <w:br w:type="page"/>
      </w:r>
    </w:p>
    <w:p>
      <w:pPr>
        <w:pStyle w:val="Heading1"/>
      </w:pPr>
      <w:r>
        <w:rPr>
          <w:rFonts w:ascii="Times New Roman" w:hAnsi="Times New Roman"/>
          <w:color w:val="000000"/>
        </w:rPr>
        <w:t>7  Stiftungsnetzwerke und Geldstroeme</w:t>
      </w:r>
    </w:p>
    <w:p>
      <w:pPr>
        <w:pStyle w:val="Heading2"/>
      </w:pPr>
      <w:r>
        <w:rPr>
          <w:rFonts w:ascii="Times New Roman" w:hAnsi="Times New Roman"/>
          <w:color w:val="000000"/>
        </w:rPr>
        <w:t>7.1  Bundesprogramm Demokratie leben!</w:t>
      </w:r>
    </w:p>
    <w:p>
      <w:pPr>
        <w:jc w:val="both"/>
      </w:pPr>
      <w:r>
        <w:rPr>
          <w:rFonts w:ascii="Times New Roman" w:hAnsi="Times New Roman"/>
          <w:sz w:val="22"/>
        </w:rPr>
        <w:t>Das Bundesprogramm "Demokratie leben!" des Bundesministeriums fuer Bildung, Familie, Senioren, Frauen und Jugend (BMBFSFJ) ist das groesste Praeventionsprogramm im Bereich Demokratiefoerderung und Extremismuspraevention. Die Haushaltsmittel haben sich wie folgt entwickelt:</w:t>
      </w:r>
    </w:p>
    <w:tbl>
      <w:tblPr>
        <w:tblStyle w:val="TableGrid"/>
        <w:tblW w:type="auto" w:w="0"/>
        <w:jc w:val="center"/>
        <w:tblLook w:firstColumn="1" w:firstRow="1" w:lastColumn="0" w:lastRow="0" w:noHBand="0" w:noVBand="1" w:val="04A0"/>
      </w:tblPr>
      <w:tblGrid>
        <w:gridCol w:w="4703"/>
        <w:gridCol w:w="4703"/>
      </w:tblGrid>
      <w:tr>
        <w:tc>
          <w:tcPr>
            <w:tcW w:type="dxa" w:w="4703"/>
            <w:shd w:fill="E8E8E8" w:val="clear"/>
          </w:tcPr>
          <w:p>
            <w:pPr>
              <w:jc w:val="left"/>
            </w:pPr>
            <w:r>
              <w:rPr>
                <w:rFonts w:ascii="Times New Roman" w:hAnsi="Times New Roman"/>
                <w:b/>
                <w:sz w:val="20"/>
              </w:rPr>
              <w:t>Jahr</w:t>
            </w:r>
          </w:p>
        </w:tc>
        <w:tc>
          <w:tcPr>
            <w:tcW w:type="dxa" w:w="4703"/>
            <w:shd w:fill="E8E8E8" w:val="clear"/>
          </w:tcPr>
          <w:p>
            <w:pPr>
              <w:jc w:val="left"/>
            </w:pPr>
            <w:r>
              <w:rPr>
                <w:rFonts w:ascii="Times New Roman" w:hAnsi="Times New Roman"/>
                <w:b/>
                <w:sz w:val="20"/>
              </w:rPr>
              <w:t>Haushaltsmittel (Mio. Euro)</w:t>
            </w:r>
          </w:p>
        </w:tc>
      </w:tr>
      <w:tr>
        <w:tc>
          <w:tcPr>
            <w:tcW w:type="dxa" w:w="4703"/>
          </w:tcPr>
          <w:p>
            <w:r>
              <w:rPr>
                <w:rFonts w:ascii="Times New Roman" w:hAnsi="Times New Roman"/>
                <w:sz w:val="20"/>
              </w:rPr>
              <w:t>2015-2019</w:t>
            </w:r>
          </w:p>
        </w:tc>
        <w:tc>
          <w:tcPr>
            <w:tcW w:type="dxa" w:w="4703"/>
          </w:tcPr>
          <w:p>
            <w:r>
              <w:rPr>
                <w:rFonts w:ascii="Times New Roman" w:hAnsi="Times New Roman"/>
                <w:sz w:val="20"/>
              </w:rPr>
              <w:t>ca. 100-120 p.a.</w:t>
            </w:r>
          </w:p>
        </w:tc>
      </w:tr>
      <w:tr>
        <w:tc>
          <w:tcPr>
            <w:tcW w:type="dxa" w:w="4703"/>
          </w:tcPr>
          <w:p>
            <w:r>
              <w:rPr>
                <w:rFonts w:ascii="Times New Roman" w:hAnsi="Times New Roman"/>
                <w:sz w:val="20"/>
              </w:rPr>
              <w:t>2020</w:t>
            </w:r>
          </w:p>
        </w:tc>
        <w:tc>
          <w:tcPr>
            <w:tcW w:type="dxa" w:w="4703"/>
          </w:tcPr>
          <w:p>
            <w:r>
              <w:rPr>
                <w:rFonts w:ascii="Times New Roman" w:hAnsi="Times New Roman"/>
                <w:sz w:val="20"/>
              </w:rPr>
              <w:t>115,5</w:t>
            </w:r>
          </w:p>
        </w:tc>
      </w:tr>
      <w:tr>
        <w:tc>
          <w:tcPr>
            <w:tcW w:type="dxa" w:w="4703"/>
          </w:tcPr>
          <w:p>
            <w:r>
              <w:rPr>
                <w:rFonts w:ascii="Times New Roman" w:hAnsi="Times New Roman"/>
                <w:sz w:val="20"/>
              </w:rPr>
              <w:t>2021</w:t>
            </w:r>
          </w:p>
        </w:tc>
        <w:tc>
          <w:tcPr>
            <w:tcW w:type="dxa" w:w="4703"/>
          </w:tcPr>
          <w:p>
            <w:r>
              <w:rPr>
                <w:rFonts w:ascii="Times New Roman" w:hAnsi="Times New Roman"/>
                <w:sz w:val="20"/>
              </w:rPr>
              <w:t>150,5</w:t>
            </w:r>
          </w:p>
        </w:tc>
      </w:tr>
      <w:tr>
        <w:tc>
          <w:tcPr>
            <w:tcW w:type="dxa" w:w="4703"/>
          </w:tcPr>
          <w:p>
            <w:r>
              <w:rPr>
                <w:rFonts w:ascii="Times New Roman" w:hAnsi="Times New Roman"/>
                <w:sz w:val="20"/>
              </w:rPr>
              <w:t>2022</w:t>
            </w:r>
          </w:p>
        </w:tc>
        <w:tc>
          <w:tcPr>
            <w:tcW w:type="dxa" w:w="4703"/>
          </w:tcPr>
          <w:p>
            <w:r>
              <w:rPr>
                <w:rFonts w:ascii="Times New Roman" w:hAnsi="Times New Roman"/>
                <w:sz w:val="20"/>
              </w:rPr>
              <w:t>165,0</w:t>
            </w:r>
          </w:p>
        </w:tc>
      </w:tr>
      <w:tr>
        <w:tc>
          <w:tcPr>
            <w:tcW w:type="dxa" w:w="4703"/>
          </w:tcPr>
          <w:p>
            <w:r>
              <w:rPr>
                <w:rFonts w:ascii="Times New Roman" w:hAnsi="Times New Roman"/>
                <w:sz w:val="20"/>
              </w:rPr>
              <w:t>2023</w:t>
            </w:r>
          </w:p>
        </w:tc>
        <w:tc>
          <w:tcPr>
            <w:tcW w:type="dxa" w:w="4703"/>
          </w:tcPr>
          <w:p>
            <w:r>
              <w:rPr>
                <w:rFonts w:ascii="Times New Roman" w:hAnsi="Times New Roman"/>
                <w:sz w:val="20"/>
              </w:rPr>
              <w:t>182,0</w:t>
            </w:r>
          </w:p>
        </w:tc>
      </w:tr>
      <w:tr>
        <w:tc>
          <w:tcPr>
            <w:tcW w:type="dxa" w:w="4703"/>
          </w:tcPr>
          <w:p>
            <w:r>
              <w:rPr>
                <w:rFonts w:ascii="Times New Roman" w:hAnsi="Times New Roman"/>
                <w:sz w:val="20"/>
              </w:rPr>
              <w:t>2024</w:t>
            </w:r>
          </w:p>
        </w:tc>
        <w:tc>
          <w:tcPr>
            <w:tcW w:type="dxa" w:w="4703"/>
          </w:tcPr>
          <w:p>
            <w:r>
              <w:rPr>
                <w:rFonts w:ascii="Times New Roman" w:hAnsi="Times New Roman"/>
                <w:sz w:val="20"/>
              </w:rPr>
              <w:t>182,0 (171,8 ausgereicht)</w:t>
            </w:r>
          </w:p>
        </w:tc>
      </w:tr>
      <w:tr>
        <w:tc>
          <w:tcPr>
            <w:tcW w:type="dxa" w:w="4703"/>
          </w:tcPr>
          <w:p>
            <w:r>
              <w:rPr>
                <w:rFonts w:ascii="Times New Roman" w:hAnsi="Times New Roman"/>
                <w:sz w:val="20"/>
              </w:rPr>
              <w:t>2025</w:t>
            </w:r>
          </w:p>
        </w:tc>
        <w:tc>
          <w:tcPr>
            <w:tcW w:type="dxa" w:w="4703"/>
          </w:tcPr>
          <w:p>
            <w:r>
              <w:rPr>
                <w:rFonts w:ascii="Times New Roman" w:hAnsi="Times New Roman"/>
                <w:sz w:val="20"/>
              </w:rPr>
              <w:t>182,0</w:t>
            </w:r>
          </w:p>
        </w:tc>
      </w:tr>
      <w:tr>
        <w:tc>
          <w:tcPr>
            <w:tcW w:type="dxa" w:w="4703"/>
          </w:tcPr>
          <w:p>
            <w:r>
              <w:rPr>
                <w:rFonts w:ascii="Times New Roman" w:hAnsi="Times New Roman"/>
                <w:sz w:val="20"/>
              </w:rPr>
              <w:t>2026</w:t>
            </w:r>
          </w:p>
        </w:tc>
        <w:tc>
          <w:tcPr>
            <w:tcW w:type="dxa" w:w="4703"/>
          </w:tcPr>
          <w:p>
            <w:r>
              <w:rPr>
                <w:rFonts w:ascii="Times New Roman" w:hAnsi="Times New Roman"/>
                <w:sz w:val="20"/>
              </w:rPr>
              <w:t>209,0</w:t>
            </w:r>
          </w:p>
        </w:tc>
      </w:tr>
    </w:tbl>
    <w:p>
      <w:r>
        <w:rPr>
          <w:rFonts w:ascii="Times New Roman" w:hAnsi="Times New Roman"/>
          <w:i/>
          <w:color w:val="555555"/>
          <w:sz w:val="18"/>
        </w:rPr>
        <w:t>Quelle: Bundestag, Kleine Anfrage, Drucksache 20/11518; demokratie-leben.de; Bundeshaushalt 2026. [17][18]</w:t>
      </w:r>
    </w:p>
    <w:p>
      <w:pPr>
        <w:jc w:val="both"/>
      </w:pPr>
      <w:r>
        <w:rPr>
          <w:rFonts w:ascii="Times New Roman" w:hAnsi="Times New Roman"/>
          <w:sz w:val="22"/>
        </w:rPr>
        <w:t>Seit Programmstart 2015 wurden insgesamt ueber 1,375 Milliarden Euro fuer Demokratiefoerderung und Extremismuspraevention bereitgestellt. Die dritte Foerderperiode (2025-2032) sieht ein jaehrliches Volumen von mindestens 182 Millionen Euro vor.</w:t>
      </w:r>
    </w:p>
    <w:p>
      <w:pPr>
        <w:pStyle w:val="Heading2"/>
      </w:pPr>
      <w:r>
        <w:rPr>
          <w:rFonts w:ascii="Times New Roman" w:hAnsi="Times New Roman"/>
          <w:color w:val="000000"/>
        </w:rPr>
        <w:t>7.2  Amadeu Antonio Stiftung</w:t>
      </w:r>
    </w:p>
    <w:p>
      <w:pPr>
        <w:jc w:val="both"/>
      </w:pPr>
      <w:r>
        <w:rPr>
          <w:rFonts w:ascii="Times New Roman" w:hAnsi="Times New Roman"/>
          <w:sz w:val="22"/>
        </w:rPr>
        <w:t>Die Amadeu Antonio Stiftung (AAS) gehoert zu den bekanntesten Organisationen im Bereich der Rechtsextremismus-Praevention. Sie erhaelt erhebliche staatliche Zuwendungen, die in den letzten Jahren deutlich gestiegen sind:</w:t>
      </w:r>
    </w:p>
    <w:tbl>
      <w:tblPr>
        <w:tblStyle w:val="TableGrid"/>
        <w:tblW w:type="auto" w:w="0"/>
        <w:jc w:val="center"/>
        <w:tblLook w:firstColumn="1" w:firstRow="1" w:lastColumn="0" w:lastRow="0" w:noHBand="0" w:noVBand="1" w:val="04A0"/>
      </w:tblPr>
      <w:tblGrid>
        <w:gridCol w:w="3135"/>
        <w:gridCol w:w="3135"/>
        <w:gridCol w:w="3135"/>
      </w:tblGrid>
      <w:tr>
        <w:tc>
          <w:tcPr>
            <w:tcW w:type="dxa" w:w="3135"/>
            <w:shd w:fill="E8E8E8" w:val="clear"/>
          </w:tcPr>
          <w:p>
            <w:pPr>
              <w:jc w:val="left"/>
            </w:pPr>
            <w:r>
              <w:rPr>
                <w:rFonts w:ascii="Times New Roman" w:hAnsi="Times New Roman"/>
                <w:b/>
                <w:sz w:val="20"/>
              </w:rPr>
              <w:t>Jahr</w:t>
            </w:r>
          </w:p>
        </w:tc>
        <w:tc>
          <w:tcPr>
            <w:tcW w:type="dxa" w:w="3135"/>
            <w:shd w:fill="E8E8E8" w:val="clear"/>
          </w:tcPr>
          <w:p>
            <w:pPr>
              <w:jc w:val="left"/>
            </w:pPr>
            <w:r>
              <w:rPr>
                <w:rFonts w:ascii="Times New Roman" w:hAnsi="Times New Roman"/>
                <w:b/>
                <w:sz w:val="20"/>
              </w:rPr>
              <w:t>Staatliche Zuwendungen (Mio. Euro)</w:t>
            </w:r>
          </w:p>
        </w:tc>
        <w:tc>
          <w:tcPr>
            <w:tcW w:type="dxa" w:w="3135"/>
            <w:shd w:fill="E8E8E8" w:val="clear"/>
          </w:tcPr>
          <w:p>
            <w:pPr>
              <w:jc w:val="left"/>
            </w:pPr>
            <w:r>
              <w:rPr>
                <w:rFonts w:ascii="Times New Roman" w:hAnsi="Times New Roman"/>
                <w:b/>
                <w:sz w:val="20"/>
              </w:rPr>
              <w:t>Quelle</w:t>
            </w:r>
          </w:p>
        </w:tc>
      </w:tr>
      <w:tr>
        <w:tc>
          <w:tcPr>
            <w:tcW w:type="dxa" w:w="3135"/>
          </w:tcPr>
          <w:p>
            <w:r>
              <w:rPr>
                <w:rFonts w:ascii="Times New Roman" w:hAnsi="Times New Roman"/>
                <w:sz w:val="20"/>
              </w:rPr>
              <w:t>2020</w:t>
            </w:r>
          </w:p>
        </w:tc>
        <w:tc>
          <w:tcPr>
            <w:tcW w:type="dxa" w:w="3135"/>
          </w:tcPr>
          <w:p>
            <w:r>
              <w:rPr>
                <w:rFonts w:ascii="Times New Roman" w:hAnsi="Times New Roman"/>
                <w:sz w:val="20"/>
              </w:rPr>
              <w:t>3,6</w:t>
            </w:r>
          </w:p>
        </w:tc>
        <w:tc>
          <w:tcPr>
            <w:tcW w:type="dxa" w:w="3135"/>
          </w:tcPr>
          <w:p>
            <w:r>
              <w:rPr>
                <w:rFonts w:ascii="Times New Roman" w:hAnsi="Times New Roman"/>
                <w:sz w:val="20"/>
              </w:rPr>
              <w:t>Jahresbericht AAS</w:t>
            </w:r>
          </w:p>
        </w:tc>
      </w:tr>
      <w:tr>
        <w:tc>
          <w:tcPr>
            <w:tcW w:type="dxa" w:w="3135"/>
          </w:tcPr>
          <w:p>
            <w:r>
              <w:rPr>
                <w:rFonts w:ascii="Times New Roman" w:hAnsi="Times New Roman"/>
                <w:sz w:val="20"/>
              </w:rPr>
              <w:t>2021</w:t>
            </w:r>
          </w:p>
        </w:tc>
        <w:tc>
          <w:tcPr>
            <w:tcW w:type="dxa" w:w="3135"/>
          </w:tcPr>
          <w:p>
            <w:r>
              <w:rPr>
                <w:rFonts w:ascii="Times New Roman" w:hAnsi="Times New Roman"/>
                <w:sz w:val="20"/>
              </w:rPr>
              <w:t>4,8</w:t>
            </w:r>
          </w:p>
        </w:tc>
        <w:tc>
          <w:tcPr>
            <w:tcW w:type="dxa" w:w="3135"/>
          </w:tcPr>
          <w:p>
            <w:r>
              <w:rPr>
                <w:rFonts w:ascii="Times New Roman" w:hAnsi="Times New Roman"/>
                <w:sz w:val="20"/>
              </w:rPr>
              <w:t>Jahresbericht AAS</w:t>
            </w:r>
          </w:p>
        </w:tc>
      </w:tr>
      <w:tr>
        <w:tc>
          <w:tcPr>
            <w:tcW w:type="dxa" w:w="3135"/>
          </w:tcPr>
          <w:p>
            <w:r>
              <w:rPr>
                <w:rFonts w:ascii="Times New Roman" w:hAnsi="Times New Roman"/>
                <w:sz w:val="20"/>
              </w:rPr>
              <w:t>2022</w:t>
            </w:r>
          </w:p>
        </w:tc>
        <w:tc>
          <w:tcPr>
            <w:tcW w:type="dxa" w:w="3135"/>
          </w:tcPr>
          <w:p>
            <w:r>
              <w:rPr>
                <w:rFonts w:ascii="Times New Roman" w:hAnsi="Times New Roman"/>
                <w:sz w:val="20"/>
              </w:rPr>
              <w:t>6,2</w:t>
            </w:r>
          </w:p>
        </w:tc>
        <w:tc>
          <w:tcPr>
            <w:tcW w:type="dxa" w:w="3135"/>
          </w:tcPr>
          <w:p>
            <w:r>
              <w:rPr>
                <w:rFonts w:ascii="Times New Roman" w:hAnsi="Times New Roman"/>
                <w:sz w:val="20"/>
              </w:rPr>
              <w:t>Jahresbericht AAS</w:t>
            </w:r>
          </w:p>
        </w:tc>
      </w:tr>
      <w:tr>
        <w:tc>
          <w:tcPr>
            <w:tcW w:type="dxa" w:w="3135"/>
          </w:tcPr>
          <w:p>
            <w:r>
              <w:rPr>
                <w:rFonts w:ascii="Times New Roman" w:hAnsi="Times New Roman"/>
                <w:sz w:val="20"/>
              </w:rPr>
              <w:t>2023</w:t>
            </w:r>
          </w:p>
        </w:tc>
        <w:tc>
          <w:tcPr>
            <w:tcW w:type="dxa" w:w="3135"/>
          </w:tcPr>
          <w:p>
            <w:r>
              <w:rPr>
                <w:rFonts w:ascii="Times New Roman" w:hAnsi="Times New Roman"/>
                <w:sz w:val="20"/>
              </w:rPr>
              <w:t>6,0</w:t>
            </w:r>
          </w:p>
        </w:tc>
        <w:tc>
          <w:tcPr>
            <w:tcW w:type="dxa" w:w="3135"/>
          </w:tcPr>
          <w:p>
            <w:r>
              <w:rPr>
                <w:rFonts w:ascii="Times New Roman" w:hAnsi="Times New Roman"/>
                <w:sz w:val="20"/>
              </w:rPr>
              <w:t>Jahresbericht AAS</w:t>
            </w:r>
          </w:p>
        </w:tc>
      </w:tr>
      <w:tr>
        <w:tc>
          <w:tcPr>
            <w:tcW w:type="dxa" w:w="3135"/>
          </w:tcPr>
          <w:p>
            <w:r>
              <w:rPr>
                <w:rFonts w:ascii="Times New Roman" w:hAnsi="Times New Roman"/>
                <w:sz w:val="20"/>
              </w:rPr>
              <w:t>2024</w:t>
            </w:r>
          </w:p>
        </w:tc>
        <w:tc>
          <w:tcPr>
            <w:tcW w:type="dxa" w:w="3135"/>
          </w:tcPr>
          <w:p>
            <w:r>
              <w:rPr>
                <w:rFonts w:ascii="Times New Roman" w:hAnsi="Times New Roman"/>
                <w:sz w:val="20"/>
              </w:rPr>
              <w:t>9,1</w:t>
            </w:r>
          </w:p>
        </w:tc>
        <w:tc>
          <w:tcPr>
            <w:tcW w:type="dxa" w:w="3135"/>
          </w:tcPr>
          <w:p>
            <w:r>
              <w:rPr>
                <w:rFonts w:ascii="Times New Roman" w:hAnsi="Times New Roman"/>
                <w:sz w:val="20"/>
              </w:rPr>
              <w:t>Jahresbericht AAS</w:t>
            </w:r>
          </w:p>
        </w:tc>
      </w:tr>
    </w:tbl>
    <w:p>
      <w:r>
        <w:rPr>
          <w:rFonts w:ascii="Times New Roman" w:hAnsi="Times New Roman"/>
          <w:i/>
          <w:color w:val="555555"/>
          <w:sz w:val="18"/>
        </w:rPr>
        <w:t>Quelle: Amadeu Antonio Stiftung, Jahresberichte 2020-2024. amadeu-antonio-stiftung.de. [19]</w:t>
      </w:r>
    </w:p>
    <w:p>
      <w:pPr>
        <w:pStyle w:val="Heading2"/>
      </w:pPr>
      <w:r>
        <w:rPr>
          <w:rFonts w:ascii="Times New Roman" w:hAnsi="Times New Roman"/>
          <w:color w:val="000000"/>
        </w:rPr>
        <w:t>7.3  Interessenkonflikte im Pruefverfahren</w:t>
      </w:r>
    </w:p>
    <w:p>
      <w:pPr>
        <w:jc w:val="both"/>
      </w:pPr>
      <w:r>
        <w:rPr>
          <w:rFonts w:ascii="Times New Roman" w:hAnsi="Times New Roman"/>
          <w:sz w:val="22"/>
        </w:rPr>
        <w:t>Die Verfassungstreue-Pruefung nach Paragraph 2 Abs. 4 StiftFinG wird vom Bundesministerium des Innern durchgefuehrt. In die Bewertung fliessen unter anderem ein: Gutachten des Deutschen Instituts fuer Menschenrechte (staatlich finanziert), Einschaetzungen des BfV (dem BMI nachgeordnet) sowie Materialien von Organisationen wie der Amadeu Antonio Stiftung, die ihrerseits ueber Bundesprogramme finanziert werden.</w:t>
      </w:r>
    </w:p>
    <w:p>
      <w:pPr>
        <w:jc w:val="both"/>
      </w:pPr>
      <w:r>
        <w:rPr>
          <w:rFonts w:ascii="Times New Roman" w:hAnsi="Times New Roman"/>
          <w:b/>
          <w:sz w:val="22"/>
        </w:rPr>
        <w:t xml:space="preserve">Kritische Einordnung: </w:t>
      </w:r>
      <w:r>
        <w:rPr>
          <w:rFonts w:ascii="Times New Roman" w:hAnsi="Times New Roman"/>
          <w:sz w:val="22"/>
        </w:rPr>
        <w:t>Es entsteht ein geschlossener Kreislauf: Staatlich finanzierte Organisationen liefern Expertise, die zur Begruendung der Nichtfoerderung der DES herangezogen wird. Die etablierten Stiftungen, deren Anteile bei einer DES-Aufnahme sinken wuerden, haben eigene Programme gegen "Rechtsextremismus", die wiederum die Argumente gegen die DES stuetzen. Dies ist kein Vorwurf einer Verschwoerung, sondern die Beschreibung einer strukturellen Anreizlogik, die einer kritischen Pruefung bedarf.</w:t>
      </w:r>
    </w:p>
    <w:p>
      <w:r>
        <w:br w:type="page"/>
      </w:r>
    </w:p>
    <w:p>
      <w:pPr>
        <w:pStyle w:val="Heading1"/>
      </w:pPr>
      <w:r>
        <w:rPr>
          <w:rFonts w:ascii="Times New Roman" w:hAnsi="Times New Roman"/>
          <w:color w:val="000000"/>
        </w:rPr>
        <w:t>8  Gerichtsurteile und Rechtslage</w:t>
      </w:r>
    </w:p>
    <w:p>
      <w:pPr>
        <w:pStyle w:val="Heading2"/>
      </w:pPr>
      <w:r>
        <w:rPr>
          <w:rFonts w:ascii="Times New Roman" w:hAnsi="Times New Roman"/>
          <w:color w:val="000000"/>
        </w:rPr>
        <w:t>8.1  BVerfG-Urteil 2023 (2 BvE 3/19)</w:t>
      </w:r>
    </w:p>
    <w:p>
      <w:pPr>
        <w:jc w:val="both"/>
      </w:pPr>
      <w:r>
        <w:rPr>
          <w:rFonts w:ascii="Times New Roman" w:hAnsi="Times New Roman"/>
          <w:sz w:val="22"/>
        </w:rPr>
        <w:t>Das Bundesverfassungsgericht stellte am 22. Februar 2023 fest, dass die bisherige Praxis der Stiftungsfinanzierung verfassungswidrig war, weil sie nicht auf einer hinreichend bestimmten gesetzlichen Grundlage beruhte. Das Gericht gab dem Bundestag auf, ein formelles Gesetz zu schaffen. Gleichzeitig ordnete es keine rueckwirkenden Zahlungen an die DES an.</w:t>
      </w:r>
    </w:p>
    <w:p>
      <w:r>
        <w:rPr>
          <w:rFonts w:ascii="Times New Roman" w:hAnsi="Times New Roman"/>
          <w:i/>
          <w:color w:val="555555"/>
          <w:sz w:val="18"/>
        </w:rPr>
        <w:t>Quelle: BVerfG, 22.02.2023, Az. 2 BvE 3/19. bundesverfassungsgericht.de. [6]</w:t>
      </w:r>
    </w:p>
    <w:p>
      <w:pPr>
        <w:jc w:val="both"/>
      </w:pPr>
      <w:r>
        <w:rPr>
          <w:rFonts w:ascii="Times New Roman" w:hAnsi="Times New Roman"/>
          <w:sz w:val="22"/>
        </w:rPr>
        <w:t>In einem Folgebeschluss vom Februar 2025 lehnte das BVerfG einen Antrag der AfD auf Vollstreckung des Urteils mit rueckwirkenden Zahlungen fuer die Jahre 2019 bis 2021 ab.</w:t>
      </w:r>
    </w:p>
    <w:p>
      <w:r>
        <w:rPr>
          <w:rFonts w:ascii="Times New Roman" w:hAnsi="Times New Roman"/>
          <w:i/>
          <w:color w:val="555555"/>
          <w:sz w:val="18"/>
        </w:rPr>
        <w:t>Quelle: LTO, 19.02.2025: BVerfG - Keine Wiedergutmachung fuer AfD-nahe Stiftung. [7]</w:t>
      </w:r>
    </w:p>
    <w:p>
      <w:pPr>
        <w:pStyle w:val="Heading2"/>
      </w:pPr>
      <w:r>
        <w:rPr>
          <w:rFonts w:ascii="Times New Roman" w:hAnsi="Times New Roman"/>
          <w:color w:val="000000"/>
        </w:rPr>
        <w:t>8.2  Weitere relevante Urteile</w:t>
      </w:r>
    </w:p>
    <w:tbl>
      <w:tblPr>
        <w:tblStyle w:val="TableGrid"/>
        <w:tblW w:type="auto" w:w="0"/>
        <w:jc w:val="center"/>
        <w:tblLook w:firstColumn="1" w:firstRow="1" w:lastColumn="0" w:lastRow="0" w:noHBand="0" w:noVBand="1" w:val="04A0"/>
      </w:tblPr>
      <w:tblGrid>
        <w:gridCol w:w="1881"/>
        <w:gridCol w:w="1881"/>
        <w:gridCol w:w="1881"/>
        <w:gridCol w:w="1881"/>
        <w:gridCol w:w="1881"/>
      </w:tblGrid>
      <w:tr>
        <w:tc>
          <w:tcPr>
            <w:tcW w:type="dxa" w:w="1881"/>
            <w:shd w:fill="E8E8E8" w:val="clear"/>
          </w:tcPr>
          <w:p>
            <w:pPr>
              <w:jc w:val="left"/>
            </w:pPr>
            <w:r>
              <w:rPr>
                <w:rFonts w:ascii="Times New Roman" w:hAnsi="Times New Roman"/>
                <w:b/>
                <w:sz w:val="20"/>
              </w:rPr>
              <w:t>Gericht</w:t>
            </w:r>
          </w:p>
        </w:tc>
        <w:tc>
          <w:tcPr>
            <w:tcW w:type="dxa" w:w="1881"/>
            <w:shd w:fill="E8E8E8" w:val="clear"/>
          </w:tcPr>
          <w:p>
            <w:pPr>
              <w:jc w:val="left"/>
            </w:pPr>
            <w:r>
              <w:rPr>
                <w:rFonts w:ascii="Times New Roman" w:hAnsi="Times New Roman"/>
                <w:b/>
                <w:sz w:val="20"/>
              </w:rPr>
              <w:t>Datum</w:t>
            </w:r>
          </w:p>
        </w:tc>
        <w:tc>
          <w:tcPr>
            <w:tcW w:type="dxa" w:w="1881"/>
            <w:shd w:fill="E8E8E8" w:val="clear"/>
          </w:tcPr>
          <w:p>
            <w:pPr>
              <w:jc w:val="left"/>
            </w:pPr>
            <w:r>
              <w:rPr>
                <w:rFonts w:ascii="Times New Roman" w:hAnsi="Times New Roman"/>
                <w:b/>
                <w:sz w:val="20"/>
              </w:rPr>
              <w:t>Aktenzeichen</w:t>
            </w:r>
          </w:p>
        </w:tc>
        <w:tc>
          <w:tcPr>
            <w:tcW w:type="dxa" w:w="1881"/>
            <w:shd w:fill="E8E8E8" w:val="clear"/>
          </w:tcPr>
          <w:p>
            <w:pPr>
              <w:jc w:val="left"/>
            </w:pPr>
            <w:r>
              <w:rPr>
                <w:rFonts w:ascii="Times New Roman" w:hAnsi="Times New Roman"/>
                <w:b/>
                <w:sz w:val="20"/>
              </w:rPr>
              <w:t>Gegenstand</w:t>
            </w:r>
          </w:p>
        </w:tc>
        <w:tc>
          <w:tcPr>
            <w:tcW w:type="dxa" w:w="1881"/>
            <w:shd w:fill="E8E8E8" w:val="clear"/>
          </w:tcPr>
          <w:p>
            <w:pPr>
              <w:jc w:val="left"/>
            </w:pPr>
            <w:r>
              <w:rPr>
                <w:rFonts w:ascii="Times New Roman" w:hAnsi="Times New Roman"/>
                <w:b/>
                <w:sz w:val="20"/>
              </w:rPr>
              <w:t>Ergebnis fuer DES/AfD</w:t>
            </w:r>
          </w:p>
        </w:tc>
      </w:tr>
      <w:tr>
        <w:tc>
          <w:tcPr>
            <w:tcW w:type="dxa" w:w="1881"/>
          </w:tcPr>
          <w:p>
            <w:r>
              <w:rPr>
                <w:rFonts w:ascii="Times New Roman" w:hAnsi="Times New Roman"/>
                <w:sz w:val="20"/>
              </w:rPr>
              <w:t>VG Koeln</w:t>
            </w:r>
          </w:p>
        </w:tc>
        <w:tc>
          <w:tcPr>
            <w:tcW w:type="dxa" w:w="1881"/>
          </w:tcPr>
          <w:p>
            <w:r>
              <w:rPr>
                <w:rFonts w:ascii="Times New Roman" w:hAnsi="Times New Roman"/>
                <w:sz w:val="20"/>
              </w:rPr>
              <w:t>2019</w:t>
            </w:r>
          </w:p>
        </w:tc>
        <w:tc>
          <w:tcPr>
            <w:tcW w:type="dxa" w:w="1881"/>
          </w:tcPr>
          <w:p>
            <w:r>
              <w:rPr>
                <w:rFonts w:ascii="Times New Roman" w:hAnsi="Times New Roman"/>
                <w:sz w:val="20"/>
              </w:rPr>
              <w:t>13 L 202/19</w:t>
            </w:r>
          </w:p>
        </w:tc>
        <w:tc>
          <w:tcPr>
            <w:tcW w:type="dxa" w:w="1881"/>
          </w:tcPr>
          <w:p>
            <w:r>
              <w:rPr>
                <w:rFonts w:ascii="Times New Roman" w:hAnsi="Times New Roman"/>
                <w:sz w:val="20"/>
              </w:rPr>
              <w:t>BfV-Bezeichnung "Prueffall"</w:t>
            </w:r>
          </w:p>
        </w:tc>
        <w:tc>
          <w:tcPr>
            <w:tcW w:type="dxa" w:w="1881"/>
          </w:tcPr>
          <w:p>
            <w:r>
              <w:rPr>
                <w:rFonts w:ascii="Times New Roman" w:hAnsi="Times New Roman"/>
                <w:sz w:val="20"/>
              </w:rPr>
              <w:t>Gewonnen (rechtswidrig)</w:t>
            </w:r>
          </w:p>
        </w:tc>
      </w:tr>
      <w:tr>
        <w:tc>
          <w:tcPr>
            <w:tcW w:type="dxa" w:w="1881"/>
          </w:tcPr>
          <w:p>
            <w:r>
              <w:rPr>
                <w:rFonts w:ascii="Times New Roman" w:hAnsi="Times New Roman"/>
                <w:sz w:val="20"/>
              </w:rPr>
              <w:t>VG Koeln</w:t>
            </w:r>
          </w:p>
        </w:tc>
        <w:tc>
          <w:tcPr>
            <w:tcW w:type="dxa" w:w="1881"/>
          </w:tcPr>
          <w:p>
            <w:r>
              <w:rPr>
                <w:rFonts w:ascii="Times New Roman" w:hAnsi="Times New Roman"/>
                <w:sz w:val="20"/>
              </w:rPr>
              <w:t>2022</w:t>
            </w:r>
          </w:p>
        </w:tc>
        <w:tc>
          <w:tcPr>
            <w:tcW w:type="dxa" w:w="1881"/>
          </w:tcPr>
          <w:p>
            <w:r>
              <w:rPr>
                <w:rFonts w:ascii="Times New Roman" w:hAnsi="Times New Roman"/>
                <w:sz w:val="20"/>
              </w:rPr>
              <w:t>13 K 208/20</w:t>
            </w:r>
          </w:p>
        </w:tc>
        <w:tc>
          <w:tcPr>
            <w:tcW w:type="dxa" w:w="1881"/>
          </w:tcPr>
          <w:p>
            <w:r>
              <w:rPr>
                <w:rFonts w:ascii="Times New Roman" w:hAnsi="Times New Roman"/>
                <w:sz w:val="20"/>
              </w:rPr>
              <w:t>Verdachtsfall-Einstufung</w:t>
            </w:r>
          </w:p>
        </w:tc>
        <w:tc>
          <w:tcPr>
            <w:tcW w:type="dxa" w:w="1881"/>
          </w:tcPr>
          <w:p>
            <w:r>
              <w:rPr>
                <w:rFonts w:ascii="Times New Roman" w:hAnsi="Times New Roman"/>
                <w:sz w:val="20"/>
              </w:rPr>
              <w:t>Verloren</w:t>
            </w:r>
          </w:p>
        </w:tc>
      </w:tr>
      <w:tr>
        <w:tc>
          <w:tcPr>
            <w:tcW w:type="dxa" w:w="1881"/>
          </w:tcPr>
          <w:p>
            <w:r>
              <w:rPr>
                <w:rFonts w:ascii="Times New Roman" w:hAnsi="Times New Roman"/>
                <w:sz w:val="20"/>
              </w:rPr>
              <w:t>OVG Muenster</w:t>
            </w:r>
          </w:p>
        </w:tc>
        <w:tc>
          <w:tcPr>
            <w:tcW w:type="dxa" w:w="1881"/>
          </w:tcPr>
          <w:p>
            <w:r>
              <w:rPr>
                <w:rFonts w:ascii="Times New Roman" w:hAnsi="Times New Roman"/>
                <w:sz w:val="20"/>
              </w:rPr>
              <w:t>2024</w:t>
            </w:r>
          </w:p>
        </w:tc>
        <w:tc>
          <w:tcPr>
            <w:tcW w:type="dxa" w:w="1881"/>
          </w:tcPr>
          <w:p>
            <w:r>
              <w:rPr>
                <w:rFonts w:ascii="Times New Roman" w:hAnsi="Times New Roman"/>
                <w:sz w:val="20"/>
              </w:rPr>
              <w:t>16 A 1382/22</w:t>
            </w:r>
          </w:p>
        </w:tc>
        <w:tc>
          <w:tcPr>
            <w:tcW w:type="dxa" w:w="1881"/>
          </w:tcPr>
          <w:p>
            <w:r>
              <w:rPr>
                <w:rFonts w:ascii="Times New Roman" w:hAnsi="Times New Roman"/>
                <w:sz w:val="20"/>
              </w:rPr>
              <w:t>Beobachtung Gesamtpartei</w:t>
            </w:r>
          </w:p>
        </w:tc>
        <w:tc>
          <w:tcPr>
            <w:tcW w:type="dxa" w:w="1881"/>
          </w:tcPr>
          <w:p>
            <w:r>
              <w:rPr>
                <w:rFonts w:ascii="Times New Roman" w:hAnsi="Times New Roman"/>
                <w:sz w:val="20"/>
              </w:rPr>
              <w:t>Verloren</w:t>
            </w:r>
          </w:p>
        </w:tc>
      </w:tr>
      <w:tr>
        <w:tc>
          <w:tcPr>
            <w:tcW w:type="dxa" w:w="1881"/>
          </w:tcPr>
          <w:p>
            <w:r>
              <w:rPr>
                <w:rFonts w:ascii="Times New Roman" w:hAnsi="Times New Roman"/>
                <w:sz w:val="20"/>
              </w:rPr>
              <w:t>OVG NRW</w:t>
            </w:r>
          </w:p>
        </w:tc>
        <w:tc>
          <w:tcPr>
            <w:tcW w:type="dxa" w:w="1881"/>
          </w:tcPr>
          <w:p>
            <w:r>
              <w:rPr>
                <w:rFonts w:ascii="Times New Roman" w:hAnsi="Times New Roman"/>
                <w:sz w:val="20"/>
              </w:rPr>
              <w:t>10.03.2026</w:t>
            </w:r>
          </w:p>
        </w:tc>
        <w:tc>
          <w:tcPr>
            <w:tcW w:type="dxa" w:w="1881"/>
          </w:tcPr>
          <w:p>
            <w:r>
              <w:rPr>
                <w:rFonts w:ascii="Times New Roman" w:hAnsi="Times New Roman"/>
                <w:sz w:val="20"/>
              </w:rPr>
              <w:t>-</w:t>
            </w:r>
          </w:p>
        </w:tc>
        <w:tc>
          <w:tcPr>
            <w:tcW w:type="dxa" w:w="1881"/>
          </w:tcPr>
          <w:p>
            <w:r>
              <w:rPr>
                <w:rFonts w:ascii="Times New Roman" w:hAnsi="Times New Roman"/>
                <w:sz w:val="20"/>
              </w:rPr>
              <w:t>Anspruch auf 2021-Foerderung</w:t>
            </w:r>
          </w:p>
        </w:tc>
        <w:tc>
          <w:tcPr>
            <w:tcW w:type="dxa" w:w="1881"/>
          </w:tcPr>
          <w:p>
            <w:r>
              <w:rPr>
                <w:rFonts w:ascii="Times New Roman" w:hAnsi="Times New Roman"/>
                <w:sz w:val="20"/>
              </w:rPr>
              <w:t>Verloren</w:t>
            </w:r>
          </w:p>
        </w:tc>
      </w:tr>
      <w:tr>
        <w:tc>
          <w:tcPr>
            <w:tcW w:type="dxa" w:w="1881"/>
          </w:tcPr>
          <w:p>
            <w:r>
              <w:rPr>
                <w:rFonts w:ascii="Times New Roman" w:hAnsi="Times New Roman"/>
                <w:sz w:val="20"/>
              </w:rPr>
              <w:t>VG Koeln</w:t>
            </w:r>
          </w:p>
        </w:tc>
        <w:tc>
          <w:tcPr>
            <w:tcW w:type="dxa" w:w="1881"/>
          </w:tcPr>
          <w:p>
            <w:r>
              <w:rPr>
                <w:rFonts w:ascii="Times New Roman" w:hAnsi="Times New Roman"/>
                <w:sz w:val="20"/>
              </w:rPr>
              <w:t>2026</w:t>
            </w:r>
          </w:p>
        </w:tc>
        <w:tc>
          <w:tcPr>
            <w:tcW w:type="dxa" w:w="1881"/>
          </w:tcPr>
          <w:p>
            <w:r>
              <w:rPr>
                <w:rFonts w:ascii="Times New Roman" w:hAnsi="Times New Roman"/>
                <w:sz w:val="20"/>
              </w:rPr>
              <w:t>-</w:t>
            </w:r>
          </w:p>
        </w:tc>
        <w:tc>
          <w:tcPr>
            <w:tcW w:type="dxa" w:w="1881"/>
          </w:tcPr>
          <w:p>
            <w:r>
              <w:rPr>
                <w:rFonts w:ascii="Times New Roman" w:hAnsi="Times New Roman"/>
                <w:sz w:val="20"/>
              </w:rPr>
              <w:t>Hochstufung "gesichert"</w:t>
            </w:r>
          </w:p>
        </w:tc>
        <w:tc>
          <w:tcPr>
            <w:tcW w:type="dxa" w:w="1881"/>
          </w:tcPr>
          <w:p>
            <w:r>
              <w:rPr>
                <w:rFonts w:ascii="Times New Roman" w:hAnsi="Times New Roman"/>
                <w:sz w:val="20"/>
              </w:rPr>
              <w:t>Gewonnen (vorlaeufig gestoppt)</w:t>
            </w:r>
          </w:p>
        </w:tc>
      </w:tr>
    </w:tbl>
    <w:p>
      <w:r>
        <w:rPr>
          <w:rFonts w:ascii="Times New Roman" w:hAnsi="Times New Roman"/>
          <w:i/>
          <w:color w:val="555555"/>
          <w:sz w:val="18"/>
        </w:rPr>
        <w:t>Quelle: Jeweilige Gerichte, oeffentliche Pressemitteilungen und Entscheidungsdatenbanken. [13]-[15]</w:t>
      </w:r>
    </w:p>
    <w:p>
      <w:pPr>
        <w:pStyle w:val="Heading2"/>
      </w:pPr>
      <w:r>
        <w:rPr>
          <w:rFonts w:ascii="Times New Roman" w:hAnsi="Times New Roman"/>
          <w:color w:val="000000"/>
        </w:rPr>
        <w:t>8.3  Verfassungsrechtliche Kritik am StiftFinG</w:t>
      </w:r>
    </w:p>
    <w:p>
      <w:pPr>
        <w:jc w:val="both"/>
      </w:pPr>
      <w:r>
        <w:rPr>
          <w:rFonts w:ascii="Times New Roman" w:hAnsi="Times New Roman"/>
          <w:sz w:val="22"/>
        </w:rPr>
        <w:t>Mehrere Verfassungsrechtler haben Bedenken gegen das StiftFinG geaeussert:</w:t>
      </w:r>
    </w:p>
    <w:tbl>
      <w:tblPr>
        <w:tblStyle w:val="TableGrid"/>
        <w:tblW w:type="auto" w:w="0"/>
        <w:jc w:val="center"/>
        <w:tblLook w:firstColumn="1" w:firstRow="1" w:lastColumn="0" w:lastRow="0" w:noHBand="0" w:noVBand="1" w:val="04A0"/>
      </w:tblPr>
      <w:tblGrid>
        <w:gridCol w:w="3135"/>
        <w:gridCol w:w="3135"/>
        <w:gridCol w:w="3135"/>
      </w:tblGrid>
      <w:tr>
        <w:tc>
          <w:tcPr>
            <w:tcW w:type="dxa" w:w="3135"/>
            <w:shd w:fill="E8E8E8" w:val="clear"/>
          </w:tcPr>
          <w:p>
            <w:pPr>
              <w:jc w:val="left"/>
            </w:pPr>
            <w:r>
              <w:rPr>
                <w:rFonts w:ascii="Times New Roman" w:hAnsi="Times New Roman"/>
                <w:b/>
                <w:sz w:val="20"/>
              </w:rPr>
              <w:t>Autor</w:t>
            </w:r>
          </w:p>
        </w:tc>
        <w:tc>
          <w:tcPr>
            <w:tcW w:type="dxa" w:w="3135"/>
            <w:shd w:fill="E8E8E8" w:val="clear"/>
          </w:tcPr>
          <w:p>
            <w:pPr>
              <w:jc w:val="left"/>
            </w:pPr>
            <w:r>
              <w:rPr>
                <w:rFonts w:ascii="Times New Roman" w:hAnsi="Times New Roman"/>
                <w:b/>
                <w:sz w:val="20"/>
              </w:rPr>
              <w:t>Institution</w:t>
            </w:r>
          </w:p>
        </w:tc>
        <w:tc>
          <w:tcPr>
            <w:tcW w:type="dxa" w:w="3135"/>
            <w:shd w:fill="E8E8E8" w:val="clear"/>
          </w:tcPr>
          <w:p>
            <w:pPr>
              <w:jc w:val="left"/>
            </w:pPr>
            <w:r>
              <w:rPr>
                <w:rFonts w:ascii="Times New Roman" w:hAnsi="Times New Roman"/>
                <w:b/>
                <w:sz w:val="20"/>
              </w:rPr>
              <w:t>Kernkritik</w:t>
            </w:r>
          </w:p>
        </w:tc>
      </w:tr>
      <w:tr>
        <w:tc>
          <w:tcPr>
            <w:tcW w:type="dxa" w:w="3135"/>
          </w:tcPr>
          <w:p>
            <w:r>
              <w:rPr>
                <w:rFonts w:ascii="Times New Roman" w:hAnsi="Times New Roman"/>
                <w:sz w:val="20"/>
              </w:rPr>
              <w:t>Christoph Moellers</w:t>
            </w:r>
          </w:p>
        </w:tc>
        <w:tc>
          <w:tcPr>
            <w:tcW w:type="dxa" w:w="3135"/>
          </w:tcPr>
          <w:p>
            <w:r>
              <w:rPr>
                <w:rFonts w:ascii="Times New Roman" w:hAnsi="Times New Roman"/>
                <w:sz w:val="20"/>
              </w:rPr>
              <w:t>HU Berlin</w:t>
            </w:r>
          </w:p>
        </w:tc>
        <w:tc>
          <w:tcPr>
            <w:tcW w:type="dxa" w:w="3135"/>
          </w:tcPr>
          <w:p>
            <w:r>
              <w:rPr>
                <w:rFonts w:ascii="Times New Roman" w:hAnsi="Times New Roman"/>
                <w:sz w:val="20"/>
              </w:rPr>
              <w:t>Drei-Legislaturperioden-Regel "riskant" bezueglich Chancengleichheit</w:t>
            </w:r>
          </w:p>
        </w:tc>
      </w:tr>
      <w:tr>
        <w:tc>
          <w:tcPr>
            <w:tcW w:type="dxa" w:w="3135"/>
          </w:tcPr>
          <w:p>
            <w:r>
              <w:rPr>
                <w:rFonts w:ascii="Times New Roman" w:hAnsi="Times New Roman"/>
                <w:sz w:val="20"/>
              </w:rPr>
              <w:t>Aden Sorge</w:t>
            </w:r>
          </w:p>
        </w:tc>
        <w:tc>
          <w:tcPr>
            <w:tcW w:type="dxa" w:w="3135"/>
          </w:tcPr>
          <w:p>
            <w:r>
              <w:rPr>
                <w:rFonts w:ascii="Times New Roman" w:hAnsi="Times New Roman"/>
                <w:sz w:val="20"/>
              </w:rPr>
              <w:t>Verfassungsblog</w:t>
            </w:r>
          </w:p>
        </w:tc>
        <w:tc>
          <w:tcPr>
            <w:tcW w:type="dxa" w:w="3135"/>
          </w:tcPr>
          <w:p>
            <w:r>
              <w:rPr>
                <w:rFonts w:ascii="Times New Roman" w:hAnsi="Times New Roman"/>
                <w:sz w:val="20"/>
              </w:rPr>
              <w:t>StiftFinG "wuerde verfassungsgerichtlicher Ueberpruefung nicht standhalten"</w:t>
            </w:r>
          </w:p>
        </w:tc>
      </w:tr>
      <w:tr>
        <w:tc>
          <w:tcPr>
            <w:tcW w:type="dxa" w:w="3135"/>
          </w:tcPr>
          <w:p>
            <w:r>
              <w:rPr>
                <w:rFonts w:ascii="Times New Roman" w:hAnsi="Times New Roman"/>
                <w:sz w:val="20"/>
              </w:rPr>
              <w:t>Manja Hauschild</w:t>
            </w:r>
          </w:p>
        </w:tc>
        <w:tc>
          <w:tcPr>
            <w:tcW w:type="dxa" w:w="3135"/>
          </w:tcPr>
          <w:p>
            <w:r>
              <w:rPr>
                <w:rFonts w:ascii="Times New Roman" w:hAnsi="Times New Roman"/>
                <w:sz w:val="20"/>
              </w:rPr>
              <w:t>Verfassungsblog</w:t>
            </w:r>
          </w:p>
        </w:tc>
        <w:tc>
          <w:tcPr>
            <w:tcW w:type="dxa" w:w="3135"/>
          </w:tcPr>
          <w:p>
            <w:r>
              <w:rPr>
                <w:rFonts w:ascii="Times New Roman" w:hAnsi="Times New Roman"/>
                <w:sz w:val="20"/>
              </w:rPr>
              <w:t>Verfassungstreue-Kriterium ohne hinreichende Bestimmtheit</w:t>
            </w:r>
          </w:p>
        </w:tc>
      </w:tr>
    </w:tbl>
    <w:p>
      <w:r>
        <w:rPr>
          <w:rFonts w:ascii="Times New Roman" w:hAnsi="Times New Roman"/>
          <w:i/>
          <w:color w:val="555555"/>
          <w:sz w:val="18"/>
        </w:rPr>
        <w:t>Quelle: Verfassungsblog.de, diverse Beitraege 2023-2026; Bundestag, Sachverstaendigenanhoerung zum StiftFinG-Entwurf. [10][20]</w:t>
      </w:r>
    </w:p>
    <w:p>
      <w:pPr>
        <w:jc w:val="both"/>
      </w:pPr>
      <w:r>
        <w:rPr>
          <w:rFonts w:ascii="Times New Roman" w:hAnsi="Times New Roman"/>
          <w:sz w:val="22"/>
        </w:rPr>
        <w:t>Ein neues Verfahren (Az. 2 BvE 1/23) ist beim BVerfG anhaengig und betrifft die Verfassungsmaessigkeit der Verfassungstreue-Klausel im StiftFinG.</w:t>
      </w:r>
    </w:p>
    <w:p>
      <w:r>
        <w:br w:type="page"/>
      </w:r>
    </w:p>
    <w:p>
      <w:pPr>
        <w:pStyle w:val="Heading1"/>
      </w:pPr>
      <w:r>
        <w:rPr>
          <w:rFonts w:ascii="Times New Roman" w:hAnsi="Times New Roman"/>
          <w:color w:val="000000"/>
        </w:rPr>
        <w:t>9  Quellenverzeichnis</w:t>
      </w:r>
    </w:p>
    <w:p>
      <w:pPr>
        <w:ind w:left="567" w:hanging="567"/>
      </w:pPr>
      <w:r>
        <w:rPr>
          <w:rFonts w:ascii="Times New Roman" w:hAnsi="Times New Roman"/>
          <w:sz w:val="20"/>
        </w:rPr>
        <w:t>[1] Deutscher Bundestag (2023): Drucksache 20/8726 — Entwurf eines Gesetzes zur Finanzierung politischer Stiftungen aus dem Bundeshaushalt. URL: dserver.bundestag.de.</w:t>
      </w:r>
    </w:p>
    <w:p>
      <w:pPr>
        <w:ind w:left="567" w:hanging="567"/>
      </w:pPr>
      <w:r>
        <w:rPr>
          <w:rFonts w:ascii="Times New Roman" w:hAnsi="Times New Roman"/>
          <w:sz w:val="20"/>
        </w:rPr>
        <w:t>[2] Bundeswahlleiterin (2013, 2017, 2021, 2025): Amtliche Endergebnisse der Bundestagswahlen. URL: bundeswahlleiterin.de.</w:t>
      </w:r>
    </w:p>
    <w:p>
      <w:pPr>
        <w:ind w:left="567" w:hanging="567"/>
      </w:pPr>
      <w:r>
        <w:rPr>
          <w:rFonts w:ascii="Times New Roman" w:hAnsi="Times New Roman"/>
          <w:sz w:val="20"/>
        </w:rPr>
        <w:t>[3] Stiftungsfinanzierungsgesetz (StiftFinG), Bundesgesetzblatt 2023. URL: gesetze-im-internet.de/stiftfing.</w:t>
      </w:r>
    </w:p>
    <w:p>
      <w:pPr>
        <w:ind w:left="567" w:hanging="567"/>
      </w:pPr>
      <w:r>
        <w:rPr>
          <w:rFonts w:ascii="Times New Roman" w:hAnsi="Times New Roman"/>
          <w:sz w:val="20"/>
        </w:rPr>
        <w:t>[4] Bundeshaushalt, Einzelplan 06 (BMI), Titel 685 12: Globalzuschuesse an parteinahe Stiftungen, Jahre 2015-2026. URL: bundeshaushalt.de.</w:t>
      </w:r>
    </w:p>
    <w:p>
      <w:pPr>
        <w:ind w:left="567" w:hanging="567"/>
      </w:pPr>
      <w:r>
        <w:rPr>
          <w:rFonts w:ascii="Times New Roman" w:hAnsi="Times New Roman"/>
          <w:sz w:val="20"/>
        </w:rPr>
        <w:t>[5] Desiderius-Erasmus-Stiftung: Selbstdarstellung. URL: erasmus-stiftung.de.</w:t>
      </w:r>
    </w:p>
    <w:p>
      <w:pPr>
        <w:ind w:left="567" w:hanging="567"/>
      </w:pPr>
      <w:r>
        <w:rPr>
          <w:rFonts w:ascii="Times New Roman" w:hAnsi="Times New Roman"/>
          <w:sz w:val="20"/>
        </w:rPr>
        <w:t>[6] Bundesverfassungsgericht, 22.02.2023, Az. 2 BvE 3/19: Organstreitverfahren zur Stiftungsfinanzierung. URL: bundesverfassungsgericht.de/SharedDocs/Entscheidungen/DE/2023/02/es20230222_2bve000319.html.</w:t>
      </w:r>
    </w:p>
    <w:p>
      <w:pPr>
        <w:ind w:left="567" w:hanging="567"/>
      </w:pPr>
      <w:r>
        <w:rPr>
          <w:rFonts w:ascii="Times New Roman" w:hAnsi="Times New Roman"/>
          <w:sz w:val="20"/>
        </w:rPr>
        <w:t>[7] Legal Tribune Online (2025): BVerfG — Keine Wiedergutmachung fuer AfD-nahe Stiftung. 19.02.2025. URL: lto.de.</w:t>
      </w:r>
    </w:p>
    <w:p>
      <w:pPr>
        <w:ind w:left="567" w:hanging="567"/>
      </w:pPr>
      <w:r>
        <w:rPr>
          <w:rFonts w:ascii="Times New Roman" w:hAnsi="Times New Roman"/>
          <w:sz w:val="20"/>
        </w:rPr>
        <w:t>[8] OVG Nordrhein-Westfalen (2026): Desiderius-Erasmus-Stiftung hat keinen Foerderanspruch fuer das Jahr 2021. Pressemitteilung 10.03.2026.</w:t>
      </w:r>
    </w:p>
    <w:p>
      <w:pPr>
        <w:ind w:left="567" w:hanging="567"/>
      </w:pPr>
      <w:r>
        <w:rPr>
          <w:rFonts w:ascii="Times New Roman" w:hAnsi="Times New Roman"/>
          <w:sz w:val="20"/>
        </w:rPr>
        <w:t>[9] Rosa-Luxemburg-Stiftung: Ueber uns / Geschichte. URL: rosalux.de.</w:t>
      </w:r>
    </w:p>
    <w:p>
      <w:pPr>
        <w:ind w:left="567" w:hanging="567"/>
      </w:pPr>
      <w:r>
        <w:rPr>
          <w:rFonts w:ascii="Times New Roman" w:hAnsi="Times New Roman"/>
          <w:sz w:val="20"/>
        </w:rPr>
        <w:t>[10] Verfassungsblog (2023-2026): Diverse Beitraege zur Stiftungsfinanzierung. URL: verfassungsblog.de. Hinweis: Einzuordnen als wissenschaftlich-juristisches Forum mit unterschiedlichen Positionen.</w:t>
      </w:r>
    </w:p>
    <w:p>
      <w:pPr>
        <w:ind w:left="567" w:hanging="567"/>
      </w:pPr>
      <w:r>
        <w:rPr>
          <w:rFonts w:ascii="Times New Roman" w:hAnsi="Times New Roman"/>
          <w:sz w:val="20"/>
        </w:rPr>
        <w:t>[11] Diverse Medienberichte (2024/2025): Thomas Haldenwang kandidiert als CDU-Bundestagskandidat.</w:t>
      </w:r>
    </w:p>
    <w:p>
      <w:pPr>
        <w:ind w:left="567" w:hanging="567"/>
      </w:pPr>
      <w:r>
        <w:rPr>
          <w:rFonts w:ascii="Times New Roman" w:hAnsi="Times New Roman"/>
          <w:sz w:val="20"/>
        </w:rPr>
        <w:t>[12] OVG Muenster (2024): Verhandlungsprotokolle im Verfahren zur BfV-Beobachtung der AfD, Az. 16 A 1382/22.</w:t>
      </w:r>
    </w:p>
    <w:p>
      <w:pPr>
        <w:ind w:left="567" w:hanging="567"/>
      </w:pPr>
      <w:r>
        <w:rPr>
          <w:rFonts w:ascii="Times New Roman" w:hAnsi="Times New Roman"/>
          <w:sz w:val="20"/>
        </w:rPr>
        <w:t>[13] VG Koeln (2019): Az. 13 L 202/19 — Bezeichnung "Prueffall" rechtswidrig.</w:t>
      </w:r>
    </w:p>
    <w:p>
      <w:pPr>
        <w:ind w:left="567" w:hanging="567"/>
      </w:pPr>
      <w:r>
        <w:rPr>
          <w:rFonts w:ascii="Times New Roman" w:hAnsi="Times New Roman"/>
          <w:sz w:val="20"/>
        </w:rPr>
        <w:t>[14] VG Koeln (2022): Az. 13 K 208/20 — Verdachtsfall-Einstufung rechtmaessig.</w:t>
      </w:r>
    </w:p>
    <w:p>
      <w:pPr>
        <w:ind w:left="567" w:hanging="567"/>
      </w:pPr>
      <w:r>
        <w:rPr>
          <w:rFonts w:ascii="Times New Roman" w:hAnsi="Times New Roman"/>
          <w:sz w:val="20"/>
        </w:rPr>
        <w:t>[15] VG Koeln (2026): Einstweilige Anordnung gegen Hochstufung zu "gesichert rechtsextremistisch".</w:t>
      </w:r>
    </w:p>
    <w:p>
      <w:pPr>
        <w:ind w:left="567" w:hanging="567"/>
      </w:pPr>
      <w:r>
        <w:rPr>
          <w:rFonts w:ascii="Times New Roman" w:hAnsi="Times New Roman"/>
          <w:sz w:val="20"/>
        </w:rPr>
        <w:t>[16] TU Dortmund, Institut fuer Journalistik (2024): Repraesentativbefragung zur politischen Orientierung deutscher Journalisten.</w:t>
      </w:r>
    </w:p>
    <w:p>
      <w:pPr>
        <w:ind w:left="567" w:hanging="567"/>
      </w:pPr>
      <w:r>
        <w:rPr>
          <w:rFonts w:ascii="Times New Roman" w:hAnsi="Times New Roman"/>
          <w:sz w:val="20"/>
        </w:rPr>
        <w:t>[17] Deutscher Bundestag: Kleine Anfrage der Fraktion der CDU/CSU, Drucksache 20/11518 — Kosten von Bundesprogrammen gegen Extremismus.</w:t>
      </w:r>
    </w:p>
    <w:p>
      <w:pPr>
        <w:ind w:left="567" w:hanging="567"/>
      </w:pPr>
      <w:r>
        <w:rPr>
          <w:rFonts w:ascii="Times New Roman" w:hAnsi="Times New Roman"/>
          <w:sz w:val="20"/>
        </w:rPr>
        <w:t>[18] Bundesprogramm "Demokratie leben!" (2026): Foerderuebersicht. URL: demokratie-leben.de.</w:t>
      </w:r>
    </w:p>
    <w:p>
      <w:pPr>
        <w:ind w:left="567" w:hanging="567"/>
      </w:pPr>
      <w:r>
        <w:rPr>
          <w:rFonts w:ascii="Times New Roman" w:hAnsi="Times New Roman"/>
          <w:sz w:val="20"/>
        </w:rPr>
        <w:t>[19] Amadeu Antonio Stiftung: Jahresberichte und Foerderbilanz 2020-2024. URL: amadeu-antonio-stiftung.de/foerderung/foerderbilanz.</w:t>
      </w:r>
    </w:p>
    <w:p>
      <w:pPr>
        <w:ind w:left="567" w:hanging="567"/>
      </w:pPr>
      <w:r>
        <w:rPr>
          <w:rFonts w:ascii="Times New Roman" w:hAnsi="Times New Roman"/>
          <w:sz w:val="20"/>
        </w:rPr>
        <w:t>[20] Bundestag, Sachverstaendigenanhoerung zum Entwurf des StiftFinG, Ausschuss fuer Inneres. URL: bundestag.de.</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